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FAFA6A" w14:textId="77777777" w:rsidR="0027376F" w:rsidRDefault="0027376F">
      <w:pPr>
        <w:ind w:left="567" w:hanging="567"/>
        <w:rPr>
          <w:rFonts w:ascii="Arial" w:eastAsia="Arial" w:hAnsi="Arial" w:cs="Arial"/>
          <w:b/>
          <w:sz w:val="24"/>
          <w:szCs w:val="24"/>
        </w:rPr>
      </w:pPr>
      <w:r>
        <w:rPr>
          <w:rFonts w:ascii="Arial" w:eastAsia="Arial" w:hAnsi="Arial" w:cs="Arial"/>
          <w:b/>
          <w:noProof/>
          <w:sz w:val="24"/>
          <w:szCs w:val="24"/>
        </w:rPr>
        <w:drawing>
          <wp:inline distT="0" distB="0" distL="0" distR="0" wp14:anchorId="1F97CE87" wp14:editId="1DDACA38">
            <wp:extent cx="2151888" cy="623316"/>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t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1888" cy="623316"/>
                    </a:xfrm>
                    <a:prstGeom prst="rect">
                      <a:avLst/>
                    </a:prstGeom>
                  </pic:spPr>
                </pic:pic>
              </a:graphicData>
            </a:graphic>
          </wp:inline>
        </w:drawing>
      </w:r>
    </w:p>
    <w:p w14:paraId="2165A294" w14:textId="77777777" w:rsidR="00621ED9" w:rsidRPr="0027376F" w:rsidRDefault="001536E2" w:rsidP="0027376F">
      <w:pPr>
        <w:spacing w:after="0" w:line="240" w:lineRule="auto"/>
        <w:ind w:left="567" w:hanging="567"/>
        <w:rPr>
          <w:sz w:val="24"/>
        </w:rPr>
      </w:pPr>
      <w:r w:rsidRPr="0027376F">
        <w:rPr>
          <w:rFonts w:ascii="Arial" w:eastAsia="Arial" w:hAnsi="Arial" w:cs="Arial"/>
          <w:b/>
          <w:sz w:val="28"/>
          <w:szCs w:val="24"/>
        </w:rPr>
        <w:t>Annual Report of Compliance with the Prevent Duty</w:t>
      </w:r>
    </w:p>
    <w:p w14:paraId="531ADB29" w14:textId="77777777" w:rsidR="0027376F" w:rsidRDefault="0027376F" w:rsidP="0027376F">
      <w:pPr>
        <w:spacing w:after="0" w:line="240" w:lineRule="auto"/>
        <w:rPr>
          <w:rFonts w:ascii="Arial" w:eastAsia="Arial" w:hAnsi="Arial" w:cs="Arial"/>
        </w:rPr>
      </w:pPr>
    </w:p>
    <w:p w14:paraId="4856941A" w14:textId="0806E71E" w:rsidR="00621ED9" w:rsidRDefault="001536E2" w:rsidP="0027376F">
      <w:pPr>
        <w:spacing w:after="0" w:line="240" w:lineRule="auto"/>
      </w:pPr>
      <w:r>
        <w:rPr>
          <w:rFonts w:ascii="Arial" w:eastAsia="Arial" w:hAnsi="Arial" w:cs="Arial"/>
        </w:rPr>
        <w:t>Mark Ame</w:t>
      </w:r>
      <w:r w:rsidR="003C0D16">
        <w:rPr>
          <w:rFonts w:ascii="Arial" w:eastAsia="Arial" w:hAnsi="Arial" w:cs="Arial"/>
        </w:rPr>
        <w:t>s, Director of Student Services</w:t>
      </w:r>
    </w:p>
    <w:p w14:paraId="3C7C8BFA" w14:textId="77777777" w:rsidR="00621ED9" w:rsidRDefault="001536E2" w:rsidP="0027376F">
      <w:pPr>
        <w:spacing w:after="0" w:line="240" w:lineRule="auto"/>
      </w:pPr>
      <w:r>
        <w:rPr>
          <w:rFonts w:ascii="Arial" w:eastAsia="Arial" w:hAnsi="Arial" w:cs="Arial"/>
        </w:rPr>
        <w:t>Richard Edwards, Head of the Divisional Office, Student Services</w:t>
      </w:r>
    </w:p>
    <w:p w14:paraId="1112CA31" w14:textId="77777777" w:rsidR="00621ED9" w:rsidRDefault="001536E2" w:rsidP="0027376F">
      <w:pPr>
        <w:spacing w:after="0" w:line="240" w:lineRule="auto"/>
      </w:pPr>
      <w:r>
        <w:rPr>
          <w:rFonts w:ascii="Arial" w:eastAsia="Arial" w:hAnsi="Arial" w:cs="Arial"/>
        </w:rPr>
        <w:t>Pete Wilgoss, Student Services Officer</w:t>
      </w:r>
    </w:p>
    <w:p w14:paraId="6A250EDB" w14:textId="77777777" w:rsidR="0080435D" w:rsidRDefault="0080435D">
      <w:pPr>
        <w:spacing w:line="240" w:lineRule="auto"/>
        <w:rPr>
          <w:rFonts w:ascii="Arial" w:eastAsia="Arial" w:hAnsi="Arial" w:cs="Arial"/>
        </w:rPr>
      </w:pPr>
    </w:p>
    <w:p w14:paraId="6AEC2B8B" w14:textId="10C3E536" w:rsidR="00621ED9" w:rsidRDefault="00B54221">
      <w:pPr>
        <w:spacing w:line="240" w:lineRule="auto"/>
        <w:rPr>
          <w:rFonts w:ascii="Arial" w:eastAsia="Arial" w:hAnsi="Arial" w:cs="Arial"/>
        </w:rPr>
      </w:pPr>
      <w:r>
        <w:rPr>
          <w:rFonts w:ascii="Arial" w:eastAsia="Arial" w:hAnsi="Arial" w:cs="Arial"/>
        </w:rPr>
        <w:t xml:space="preserve">October </w:t>
      </w:r>
      <w:r w:rsidR="001536E2">
        <w:rPr>
          <w:rFonts w:ascii="Arial" w:eastAsia="Arial" w:hAnsi="Arial" w:cs="Arial"/>
        </w:rPr>
        <w:t>2016</w:t>
      </w:r>
    </w:p>
    <w:p w14:paraId="014F731A" w14:textId="77777777" w:rsidR="00621ED9" w:rsidRDefault="00E2306E">
      <w:r>
        <w:pict w14:anchorId="6D8C8129">
          <v:rect id="_x0000_i1025" style="width:0;height:1.5pt" o:hralign="center" o:hrstd="t" o:hr="t" fillcolor="#a0a0a0" stroked="f"/>
        </w:pict>
      </w:r>
    </w:p>
    <w:p w14:paraId="5FFF6CCF" w14:textId="77777777" w:rsidR="00621ED9" w:rsidRDefault="001536E2">
      <w:pPr>
        <w:numPr>
          <w:ilvl w:val="0"/>
          <w:numId w:val="3"/>
        </w:numPr>
        <w:spacing w:after="0"/>
        <w:ind w:left="567" w:hanging="567"/>
        <w:contextualSpacing/>
        <w:rPr>
          <w:rFonts w:ascii="Arial" w:eastAsia="Arial" w:hAnsi="Arial" w:cs="Arial"/>
          <w:b/>
        </w:rPr>
      </w:pPr>
      <w:r>
        <w:rPr>
          <w:rFonts w:ascii="Arial" w:eastAsia="Arial" w:hAnsi="Arial" w:cs="Arial"/>
          <w:b/>
        </w:rPr>
        <w:t>Introduction</w:t>
      </w:r>
    </w:p>
    <w:p w14:paraId="64FE1C29" w14:textId="714BE6D0" w:rsidR="00621ED9" w:rsidRPr="0027376F" w:rsidRDefault="001536E2" w:rsidP="0027376F">
      <w:pPr>
        <w:numPr>
          <w:ilvl w:val="1"/>
          <w:numId w:val="4"/>
        </w:numPr>
        <w:spacing w:after="0"/>
        <w:ind w:left="567" w:hanging="567"/>
        <w:contextualSpacing/>
        <w:rPr>
          <w:rFonts w:ascii="Arial" w:eastAsia="Arial" w:hAnsi="Arial" w:cs="Arial"/>
        </w:rPr>
      </w:pPr>
      <w:r>
        <w:rPr>
          <w:rFonts w:ascii="Arial" w:eastAsia="Arial" w:hAnsi="Arial" w:cs="Arial"/>
        </w:rPr>
        <w:t>This is the University of Bristol’s first annual report of its implementation of the Prevent Duty. It covers activity carried out by the University in pursuance of compliance with the Counter Terrorism and Security Act</w:t>
      </w:r>
      <w:r w:rsidR="007521BB">
        <w:rPr>
          <w:rFonts w:ascii="Arial" w:eastAsia="Arial" w:hAnsi="Arial" w:cs="Arial"/>
        </w:rPr>
        <w:t xml:space="preserve"> 2015</w:t>
      </w:r>
      <w:r w:rsidR="0057316B">
        <w:rPr>
          <w:rFonts w:ascii="Arial" w:eastAsia="Arial" w:hAnsi="Arial" w:cs="Arial"/>
        </w:rPr>
        <w:t>, during the</w:t>
      </w:r>
      <w:r>
        <w:rPr>
          <w:rFonts w:ascii="Arial" w:eastAsia="Arial" w:hAnsi="Arial" w:cs="Arial"/>
        </w:rPr>
        <w:t xml:space="preserve"> period si</w:t>
      </w:r>
      <w:r w:rsidR="008525F2">
        <w:rPr>
          <w:rFonts w:ascii="Arial" w:eastAsia="Arial" w:hAnsi="Arial" w:cs="Arial"/>
        </w:rPr>
        <w:t xml:space="preserve">nce the University became subject to the Duty </w:t>
      </w:r>
      <w:r>
        <w:rPr>
          <w:rFonts w:ascii="Arial" w:eastAsia="Arial" w:hAnsi="Arial" w:cs="Arial"/>
        </w:rPr>
        <w:t>in September 2015 and</w:t>
      </w:r>
      <w:r w:rsidR="003C0D16">
        <w:rPr>
          <w:rFonts w:ascii="Arial" w:eastAsia="Arial" w:hAnsi="Arial" w:cs="Arial"/>
        </w:rPr>
        <w:t xml:space="preserve"> 1st</w:t>
      </w:r>
      <w:r>
        <w:rPr>
          <w:rFonts w:ascii="Arial" w:eastAsia="Arial" w:hAnsi="Arial" w:cs="Arial"/>
        </w:rPr>
        <w:t xml:space="preserve"> December 2016</w:t>
      </w:r>
      <w:r w:rsidR="003C0D16">
        <w:rPr>
          <w:rFonts w:ascii="Arial" w:eastAsia="Arial" w:hAnsi="Arial" w:cs="Arial"/>
        </w:rPr>
        <w:t xml:space="preserve"> (this report’s due date)</w:t>
      </w:r>
      <w:r>
        <w:rPr>
          <w:rFonts w:ascii="Arial" w:eastAsia="Arial" w:hAnsi="Arial" w:cs="Arial"/>
        </w:rPr>
        <w:t>.</w:t>
      </w:r>
    </w:p>
    <w:p w14:paraId="03B07100" w14:textId="08488F29" w:rsidR="00AE2EFC" w:rsidRDefault="001536E2" w:rsidP="005C5B93">
      <w:pPr>
        <w:numPr>
          <w:ilvl w:val="1"/>
          <w:numId w:val="4"/>
        </w:numPr>
        <w:spacing w:after="0"/>
        <w:ind w:left="567" w:hanging="567"/>
        <w:contextualSpacing/>
        <w:rPr>
          <w:rFonts w:ascii="Arial" w:eastAsia="Arial" w:hAnsi="Arial" w:cs="Arial"/>
        </w:rPr>
      </w:pPr>
      <w:r>
        <w:rPr>
          <w:rFonts w:ascii="Arial" w:eastAsia="Arial" w:hAnsi="Arial" w:cs="Arial"/>
        </w:rPr>
        <w:t>As the compliance body on behalf of HM Government, HEFCE require</w:t>
      </w:r>
      <w:r w:rsidR="0057316B">
        <w:rPr>
          <w:rFonts w:ascii="Arial" w:eastAsia="Arial" w:hAnsi="Arial" w:cs="Arial"/>
        </w:rPr>
        <w:t>s that</w:t>
      </w:r>
      <w:r>
        <w:rPr>
          <w:rFonts w:ascii="Arial" w:eastAsia="Arial" w:hAnsi="Arial" w:cs="Arial"/>
        </w:rPr>
        <w:t xml:space="preserve"> the University produce an annual report in </w:t>
      </w:r>
      <w:r w:rsidR="00BF0A07">
        <w:rPr>
          <w:rFonts w:ascii="Arial" w:eastAsia="Arial" w:hAnsi="Arial" w:cs="Arial"/>
        </w:rPr>
        <w:t xml:space="preserve">advance of </w:t>
      </w:r>
      <w:r>
        <w:rPr>
          <w:rFonts w:ascii="Arial" w:eastAsia="Arial" w:hAnsi="Arial" w:cs="Arial"/>
        </w:rPr>
        <w:t>December 2016.</w:t>
      </w:r>
      <w:r w:rsidR="00D65414">
        <w:rPr>
          <w:rStyle w:val="FootnoteReference"/>
          <w:rFonts w:ascii="Arial" w:eastAsia="Arial" w:hAnsi="Arial" w:cs="Arial"/>
        </w:rPr>
        <w:footnoteReference w:id="1"/>
      </w:r>
      <w:r>
        <w:rPr>
          <w:rFonts w:ascii="Arial" w:eastAsia="Arial" w:hAnsi="Arial" w:cs="Arial"/>
        </w:rPr>
        <w:t xml:space="preserve"> </w:t>
      </w:r>
      <w:r w:rsidR="009F3295">
        <w:rPr>
          <w:rFonts w:ascii="Arial" w:eastAsia="Arial" w:hAnsi="Arial" w:cs="Arial"/>
        </w:rPr>
        <w:t>The format required is a comprehensive report to the Board of Trustees which summarises activity and demonstrates use of a risk assessment and action plan</w:t>
      </w:r>
      <w:r w:rsidR="00B54221">
        <w:rPr>
          <w:rFonts w:ascii="Arial" w:eastAsia="Arial" w:hAnsi="Arial" w:cs="Arial"/>
        </w:rPr>
        <w:t>.</w:t>
      </w:r>
    </w:p>
    <w:p w14:paraId="67A4E271" w14:textId="6CBCE8A3" w:rsidR="00D65414" w:rsidRDefault="00AE2EFC" w:rsidP="00D65414">
      <w:pPr>
        <w:numPr>
          <w:ilvl w:val="2"/>
          <w:numId w:val="4"/>
        </w:numPr>
        <w:spacing w:after="0"/>
        <w:contextualSpacing/>
        <w:rPr>
          <w:rFonts w:ascii="Arial" w:eastAsia="Arial" w:hAnsi="Arial" w:cs="Arial"/>
        </w:rPr>
      </w:pPr>
      <w:r>
        <w:rPr>
          <w:rFonts w:ascii="Arial" w:eastAsia="Arial" w:hAnsi="Arial" w:cs="Arial"/>
        </w:rPr>
        <w:t>For returns due in December 2016, HEFCE have asked for providers to include specific comment on their approach to web filtering</w:t>
      </w:r>
      <w:r w:rsidR="009F3295">
        <w:rPr>
          <w:rFonts w:ascii="Arial" w:eastAsia="Arial" w:hAnsi="Arial" w:cs="Arial"/>
        </w:rPr>
        <w:t>.</w:t>
      </w:r>
      <w:r>
        <w:rPr>
          <w:rFonts w:ascii="Arial" w:eastAsia="Arial" w:hAnsi="Arial" w:cs="Arial"/>
        </w:rPr>
        <w:t xml:space="preserve"> Our suggested response to this is to refer HEFCE to the </w:t>
      </w:r>
      <w:r w:rsidR="00EC7E76">
        <w:rPr>
          <w:rFonts w:ascii="Arial" w:eastAsia="Arial" w:hAnsi="Arial" w:cs="Arial"/>
        </w:rPr>
        <w:t>S</w:t>
      </w:r>
      <w:r>
        <w:rPr>
          <w:rFonts w:ascii="Arial" w:eastAsia="Arial" w:hAnsi="Arial" w:cs="Arial"/>
        </w:rPr>
        <w:t xml:space="preserve">ummary </w:t>
      </w:r>
      <w:r w:rsidR="00EC7E76">
        <w:rPr>
          <w:rFonts w:ascii="Arial" w:eastAsia="Arial" w:hAnsi="Arial" w:cs="Arial"/>
        </w:rPr>
        <w:t>R</w:t>
      </w:r>
      <w:r>
        <w:rPr>
          <w:rFonts w:ascii="Arial" w:eastAsia="Arial" w:hAnsi="Arial" w:cs="Arial"/>
        </w:rPr>
        <w:t xml:space="preserve">eport submitted to them in April 2016 as part of our detailed submission, which contains our rationale not to filter. Further information can be provided if HEFCE seek it. The Prevent Compliance Group considered a paper </w:t>
      </w:r>
      <w:r w:rsidR="009757A2">
        <w:rPr>
          <w:rFonts w:ascii="Arial" w:eastAsia="Arial" w:hAnsi="Arial" w:cs="Arial"/>
        </w:rPr>
        <w:t>(</w:t>
      </w:r>
      <w:r w:rsidR="002A6ABD">
        <w:rPr>
          <w:rFonts w:ascii="Arial" w:eastAsia="Arial" w:hAnsi="Arial" w:cs="Arial"/>
        </w:rPr>
        <w:t xml:space="preserve">ref. </w:t>
      </w:r>
      <w:r w:rsidR="009757A2">
        <w:rPr>
          <w:rFonts w:ascii="Arial" w:eastAsia="Arial" w:hAnsi="Arial" w:cs="Arial"/>
        </w:rPr>
        <w:t xml:space="preserve">PCG/03/01) </w:t>
      </w:r>
      <w:r>
        <w:rPr>
          <w:rFonts w:ascii="Arial" w:eastAsia="Arial" w:hAnsi="Arial" w:cs="Arial"/>
        </w:rPr>
        <w:t>on this earlier in the year.</w:t>
      </w:r>
    </w:p>
    <w:p w14:paraId="038B49D5" w14:textId="122004C5" w:rsidR="005C5B93" w:rsidRDefault="00D65414" w:rsidP="0091523A">
      <w:pPr>
        <w:numPr>
          <w:ilvl w:val="2"/>
          <w:numId w:val="4"/>
        </w:numPr>
        <w:spacing w:after="0"/>
        <w:contextualSpacing/>
        <w:rPr>
          <w:rFonts w:ascii="Arial" w:eastAsia="Arial" w:hAnsi="Arial" w:cs="Arial"/>
        </w:rPr>
      </w:pPr>
      <w:r>
        <w:rPr>
          <w:rFonts w:ascii="Arial" w:eastAsia="Arial" w:hAnsi="Arial" w:cs="Arial"/>
        </w:rPr>
        <w:t xml:space="preserve">HEFCE have also asked </w:t>
      </w:r>
      <w:r w:rsidR="00EF75EC">
        <w:rPr>
          <w:rFonts w:ascii="Arial" w:eastAsia="Arial" w:hAnsi="Arial" w:cs="Arial"/>
        </w:rPr>
        <w:t xml:space="preserve">for specific comment on </w:t>
      </w:r>
      <w:r w:rsidR="00EF75EC" w:rsidRPr="00EF75EC">
        <w:rPr>
          <w:rFonts w:ascii="Arial" w:eastAsia="Arial" w:hAnsi="Arial" w:cs="Arial"/>
        </w:rPr>
        <w:t>their approach to implementing the Prevent duty with franchise partner institutions</w:t>
      </w:r>
      <w:r w:rsidR="00EF75EC">
        <w:rPr>
          <w:rFonts w:ascii="Arial" w:eastAsia="Arial" w:hAnsi="Arial" w:cs="Arial"/>
        </w:rPr>
        <w:t>.</w:t>
      </w:r>
      <w:r w:rsidR="0091523A">
        <w:rPr>
          <w:rFonts w:ascii="Arial" w:eastAsia="Arial" w:hAnsi="Arial" w:cs="Arial"/>
        </w:rPr>
        <w:t xml:space="preserve"> The University does not have franchise agreements where our </w:t>
      </w:r>
      <w:r w:rsidR="00241E6F">
        <w:rPr>
          <w:rFonts w:ascii="Arial" w:eastAsia="Arial" w:hAnsi="Arial" w:cs="Arial"/>
        </w:rPr>
        <w:t>programmes</w:t>
      </w:r>
      <w:r w:rsidR="0091523A">
        <w:rPr>
          <w:rFonts w:ascii="Arial" w:eastAsia="Arial" w:hAnsi="Arial" w:cs="Arial"/>
        </w:rPr>
        <w:t xml:space="preserve"> are taught by others. In clarification of their position, HEFCE said: </w:t>
      </w:r>
      <w:r w:rsidR="0091523A" w:rsidRPr="0091523A">
        <w:rPr>
          <w:rFonts w:ascii="Arial" w:eastAsia="Arial" w:hAnsi="Arial" w:cs="Arial"/>
          <w:i/>
        </w:rPr>
        <w:t>‘the question we’d expect to see addressed is whether there are appropriate policies covering all Bristol students, regardless of what or where they study’</w:t>
      </w:r>
      <w:r w:rsidR="0091523A" w:rsidRPr="0091523A">
        <w:rPr>
          <w:rFonts w:ascii="Arial" w:eastAsia="Arial" w:hAnsi="Arial" w:cs="Arial"/>
        </w:rPr>
        <w:t>.</w:t>
      </w:r>
      <w:r w:rsidR="0091523A">
        <w:rPr>
          <w:rFonts w:ascii="Arial" w:eastAsia="Arial" w:hAnsi="Arial" w:cs="Arial"/>
        </w:rPr>
        <w:t xml:space="preserve"> The University has a wide range of placement arrangements. In light of HEFCE’s guidance, we will ensure that our colleagues who are working with placement providers will have relevant Prevent-related information of how to seek help if concerns are raised. The issue has been added to the </w:t>
      </w:r>
      <w:r w:rsidR="00241E6F">
        <w:rPr>
          <w:rFonts w:ascii="Arial" w:eastAsia="Arial" w:hAnsi="Arial" w:cs="Arial"/>
        </w:rPr>
        <w:t xml:space="preserve">Risk Assessment </w:t>
      </w:r>
      <w:r w:rsidR="0091523A">
        <w:rPr>
          <w:rFonts w:ascii="Arial" w:eastAsia="Arial" w:hAnsi="Arial" w:cs="Arial"/>
        </w:rPr>
        <w:t xml:space="preserve">and </w:t>
      </w:r>
      <w:r w:rsidR="00241E6F">
        <w:rPr>
          <w:rFonts w:ascii="Arial" w:eastAsia="Arial" w:hAnsi="Arial" w:cs="Arial"/>
        </w:rPr>
        <w:t xml:space="preserve">Action Plan (Appendix </w:t>
      </w:r>
      <w:proofErr w:type="spellStart"/>
      <w:r w:rsidR="00241E6F">
        <w:rPr>
          <w:rFonts w:ascii="Arial" w:eastAsia="Arial" w:hAnsi="Arial" w:cs="Arial"/>
        </w:rPr>
        <w:t>i</w:t>
      </w:r>
      <w:proofErr w:type="spellEnd"/>
      <w:r w:rsidR="00241E6F">
        <w:rPr>
          <w:rFonts w:ascii="Arial" w:eastAsia="Arial" w:hAnsi="Arial" w:cs="Arial"/>
        </w:rPr>
        <w:t>)</w:t>
      </w:r>
      <w:r w:rsidR="00287470">
        <w:rPr>
          <w:rFonts w:ascii="Arial" w:eastAsia="Arial" w:hAnsi="Arial" w:cs="Arial"/>
        </w:rPr>
        <w:t xml:space="preserve"> to be considered during 2016/17</w:t>
      </w:r>
      <w:r w:rsidR="0091523A">
        <w:rPr>
          <w:rFonts w:ascii="Arial" w:eastAsia="Arial" w:hAnsi="Arial" w:cs="Arial"/>
        </w:rPr>
        <w:t xml:space="preserve">. </w:t>
      </w:r>
    </w:p>
    <w:p w14:paraId="5654C7B3" w14:textId="6F80B2B9" w:rsidR="0074005A" w:rsidRDefault="0027376F" w:rsidP="00B13601">
      <w:pPr>
        <w:numPr>
          <w:ilvl w:val="1"/>
          <w:numId w:val="4"/>
        </w:numPr>
        <w:spacing w:after="0"/>
        <w:ind w:left="567" w:hanging="567"/>
        <w:contextualSpacing/>
        <w:rPr>
          <w:rFonts w:ascii="Arial" w:eastAsia="Arial" w:hAnsi="Arial" w:cs="Arial"/>
        </w:rPr>
      </w:pPr>
      <w:r w:rsidRPr="0074005A">
        <w:rPr>
          <w:rFonts w:ascii="Arial" w:eastAsia="Arial" w:hAnsi="Arial" w:cs="Arial"/>
        </w:rPr>
        <w:t>HEFCE ask that</w:t>
      </w:r>
      <w:r w:rsidR="00505DF0" w:rsidRPr="0074005A">
        <w:rPr>
          <w:rFonts w:ascii="Arial" w:eastAsia="Arial" w:hAnsi="Arial" w:cs="Arial"/>
        </w:rPr>
        <w:t xml:space="preserve"> </w:t>
      </w:r>
      <w:r w:rsidR="00D65414">
        <w:rPr>
          <w:rFonts w:ascii="Arial" w:eastAsia="Arial" w:hAnsi="Arial" w:cs="Arial"/>
        </w:rPr>
        <w:t>t</w:t>
      </w:r>
      <w:r w:rsidR="00505DF0" w:rsidRPr="0074005A">
        <w:rPr>
          <w:rFonts w:ascii="Arial" w:hAnsi="Arial" w:cs="Arial"/>
        </w:rPr>
        <w:t xml:space="preserve">he chair of the </w:t>
      </w:r>
      <w:r w:rsidR="0074005A" w:rsidRPr="0074005A">
        <w:rPr>
          <w:rFonts w:ascii="Arial" w:hAnsi="Arial" w:cs="Arial"/>
        </w:rPr>
        <w:t>Board of Trustees provide the following declarations as part of the annual report</w:t>
      </w:r>
      <w:r w:rsidR="0074005A" w:rsidRPr="0074005A">
        <w:rPr>
          <w:rFonts w:ascii="Arial" w:eastAsia="Arial" w:hAnsi="Arial" w:cs="Arial"/>
        </w:rPr>
        <w:t xml:space="preserve">: </w:t>
      </w:r>
    </w:p>
    <w:p w14:paraId="5A8E832B" w14:textId="0D7E0FC6" w:rsidR="0074005A" w:rsidRPr="0074005A" w:rsidRDefault="0074005A" w:rsidP="0074005A">
      <w:pPr>
        <w:spacing w:after="0"/>
        <w:ind w:left="567"/>
        <w:contextualSpacing/>
        <w:rPr>
          <w:rFonts w:ascii="Arial" w:eastAsia="Arial" w:hAnsi="Arial" w:cs="Arial"/>
        </w:rPr>
      </w:pPr>
      <w:r w:rsidRPr="0074005A">
        <w:rPr>
          <w:rFonts w:ascii="Arial" w:eastAsia="Arial" w:hAnsi="Arial" w:cs="Arial"/>
        </w:rPr>
        <w:t>“</w:t>
      </w:r>
      <w:r w:rsidRPr="0074005A">
        <w:rPr>
          <w:rFonts w:ascii="Arial" w:hAnsi="Arial" w:cs="Arial"/>
        </w:rPr>
        <w:t>Throughout the academic year and up to the date of approval, the University of Bristol:</w:t>
      </w:r>
    </w:p>
    <w:p w14:paraId="4C058F27" w14:textId="77777777" w:rsidR="0074005A" w:rsidRPr="0074005A" w:rsidRDefault="0074005A" w:rsidP="0074005A">
      <w:pPr>
        <w:pStyle w:val="ListParagraph"/>
        <w:numPr>
          <w:ilvl w:val="2"/>
          <w:numId w:val="4"/>
        </w:numPr>
        <w:spacing w:after="0"/>
        <w:ind w:left="1418" w:hanging="567"/>
        <w:rPr>
          <w:rFonts w:ascii="Arial" w:eastAsia="Arial" w:hAnsi="Arial" w:cs="Arial"/>
        </w:rPr>
      </w:pPr>
      <w:r w:rsidRPr="0074005A">
        <w:rPr>
          <w:rFonts w:ascii="Arial" w:hAnsi="Arial" w:cs="Arial"/>
        </w:rPr>
        <w:t>has had due regard to the need to prevent people being drawn into terrorism (the Prevent duty)</w:t>
      </w:r>
    </w:p>
    <w:p w14:paraId="19676DB5" w14:textId="77777777" w:rsidR="0074005A" w:rsidRPr="0074005A" w:rsidRDefault="0074005A" w:rsidP="0074005A">
      <w:pPr>
        <w:pStyle w:val="ListParagraph"/>
        <w:numPr>
          <w:ilvl w:val="2"/>
          <w:numId w:val="4"/>
        </w:numPr>
        <w:spacing w:after="0"/>
        <w:ind w:left="1418" w:hanging="567"/>
        <w:rPr>
          <w:rFonts w:ascii="Arial" w:eastAsia="Arial" w:hAnsi="Arial" w:cs="Arial"/>
        </w:rPr>
      </w:pPr>
      <w:r w:rsidRPr="0074005A">
        <w:rPr>
          <w:rFonts w:ascii="Arial" w:hAnsi="Arial" w:cs="Arial"/>
        </w:rPr>
        <w:lastRenderedPageBreak/>
        <w:t>has provided to HEFCE all required information about its implementation of the Prevent duty</w:t>
      </w:r>
    </w:p>
    <w:p w14:paraId="350B82E2" w14:textId="6F013CC9" w:rsidR="0074005A" w:rsidRPr="0074005A" w:rsidRDefault="0074005A" w:rsidP="0074005A">
      <w:pPr>
        <w:pStyle w:val="ListParagraph"/>
        <w:numPr>
          <w:ilvl w:val="2"/>
          <w:numId w:val="4"/>
        </w:numPr>
        <w:spacing w:after="0"/>
        <w:ind w:left="1418" w:hanging="567"/>
        <w:rPr>
          <w:rFonts w:ascii="Arial" w:eastAsia="Arial" w:hAnsi="Arial" w:cs="Arial"/>
        </w:rPr>
      </w:pPr>
      <w:r w:rsidRPr="0074005A">
        <w:rPr>
          <w:rFonts w:ascii="Arial" w:hAnsi="Arial" w:cs="Arial"/>
        </w:rPr>
        <w:t>has reported to HEFCE in a timely way all serious issues related to the Prevent duty, or now attaches any reports that should have been made, with an explanation of why they were not submitted.” We have none to report.</w:t>
      </w:r>
    </w:p>
    <w:p w14:paraId="15A8EB80" w14:textId="5E3E8E12" w:rsidR="0074005A" w:rsidRPr="0027376F" w:rsidRDefault="00E95929" w:rsidP="00E95929">
      <w:pPr>
        <w:spacing w:after="0"/>
        <w:ind w:left="567"/>
        <w:rPr>
          <w:rFonts w:ascii="Arial" w:eastAsia="Arial" w:hAnsi="Arial" w:cs="Arial"/>
        </w:rPr>
      </w:pPr>
      <w:r>
        <w:rPr>
          <w:rFonts w:ascii="Arial" w:eastAsia="Arial" w:hAnsi="Arial" w:cs="Arial"/>
        </w:rPr>
        <w:t>These declarations are considered to be made by</w:t>
      </w:r>
      <w:r w:rsidR="00AE2EFC">
        <w:rPr>
          <w:rFonts w:ascii="Arial" w:eastAsia="Arial" w:hAnsi="Arial" w:cs="Arial"/>
        </w:rPr>
        <w:t xml:space="preserve"> the</w:t>
      </w:r>
      <w:r w:rsidR="0057316B">
        <w:rPr>
          <w:rFonts w:ascii="Arial" w:eastAsia="Arial" w:hAnsi="Arial" w:cs="Arial"/>
        </w:rPr>
        <w:t xml:space="preserve"> Board of Trustee</w:t>
      </w:r>
      <w:r w:rsidR="00AE2EFC">
        <w:rPr>
          <w:rFonts w:ascii="Arial" w:eastAsia="Arial" w:hAnsi="Arial" w:cs="Arial"/>
        </w:rPr>
        <w:t>s’</w:t>
      </w:r>
      <w:r>
        <w:rPr>
          <w:rFonts w:ascii="Arial" w:eastAsia="Arial" w:hAnsi="Arial" w:cs="Arial"/>
        </w:rPr>
        <w:t xml:space="preserve"> approval of th</w:t>
      </w:r>
      <w:r w:rsidR="00D65414">
        <w:rPr>
          <w:rFonts w:ascii="Arial" w:eastAsia="Arial" w:hAnsi="Arial" w:cs="Arial"/>
        </w:rPr>
        <w:t>is</w:t>
      </w:r>
      <w:r>
        <w:rPr>
          <w:rFonts w:ascii="Arial" w:eastAsia="Arial" w:hAnsi="Arial" w:cs="Arial"/>
        </w:rPr>
        <w:t xml:space="preserve"> report</w:t>
      </w:r>
      <w:r w:rsidR="0057316B">
        <w:rPr>
          <w:rFonts w:ascii="Arial" w:eastAsia="Arial" w:hAnsi="Arial" w:cs="Arial"/>
        </w:rPr>
        <w:t>.</w:t>
      </w:r>
    </w:p>
    <w:p w14:paraId="7E230B39" w14:textId="77777777" w:rsidR="00621ED9" w:rsidRDefault="001536E2">
      <w:pPr>
        <w:numPr>
          <w:ilvl w:val="1"/>
          <w:numId w:val="4"/>
        </w:numPr>
        <w:spacing w:after="0"/>
        <w:ind w:left="567" w:hanging="567"/>
        <w:contextualSpacing/>
        <w:rPr>
          <w:rFonts w:ascii="Arial" w:eastAsia="Arial" w:hAnsi="Arial" w:cs="Arial"/>
        </w:rPr>
      </w:pPr>
      <w:r>
        <w:rPr>
          <w:rFonts w:ascii="Arial" w:eastAsia="Arial" w:hAnsi="Arial" w:cs="Arial"/>
        </w:rPr>
        <w:t xml:space="preserve">The report is divided into four sections. </w:t>
      </w:r>
    </w:p>
    <w:p w14:paraId="21728BB6" w14:textId="20DD2C32" w:rsidR="00621ED9" w:rsidRDefault="0027376F" w:rsidP="00E95929">
      <w:pPr>
        <w:numPr>
          <w:ilvl w:val="0"/>
          <w:numId w:val="2"/>
        </w:numPr>
        <w:spacing w:after="0"/>
        <w:ind w:left="1276" w:hanging="360"/>
        <w:contextualSpacing/>
        <w:rPr>
          <w:rFonts w:ascii="Arial" w:eastAsia="Arial" w:hAnsi="Arial" w:cs="Arial"/>
        </w:rPr>
      </w:pPr>
      <w:r>
        <w:rPr>
          <w:rFonts w:ascii="Arial" w:eastAsia="Arial" w:hAnsi="Arial" w:cs="Arial"/>
        </w:rPr>
        <w:t xml:space="preserve">Section A: </w:t>
      </w:r>
      <w:r w:rsidR="001536E2">
        <w:rPr>
          <w:rFonts w:ascii="Arial" w:eastAsia="Arial" w:hAnsi="Arial" w:cs="Arial"/>
        </w:rPr>
        <w:t>Summary of information submitted to HEFCE at their request in January and April 2016</w:t>
      </w:r>
      <w:r w:rsidR="007521BB">
        <w:rPr>
          <w:rFonts w:ascii="Arial" w:eastAsia="Arial" w:hAnsi="Arial" w:cs="Arial"/>
        </w:rPr>
        <w:t xml:space="preserve"> </w:t>
      </w:r>
      <w:r w:rsidR="001536E2">
        <w:rPr>
          <w:rFonts w:ascii="Arial" w:eastAsia="Arial" w:hAnsi="Arial" w:cs="Arial"/>
        </w:rPr>
        <w:t>(the ‘detailed submission’)</w:t>
      </w:r>
      <w:r w:rsidR="00D65414">
        <w:rPr>
          <w:rFonts w:ascii="Arial" w:eastAsia="Arial" w:hAnsi="Arial" w:cs="Arial"/>
        </w:rPr>
        <w:t>.</w:t>
      </w:r>
    </w:p>
    <w:p w14:paraId="42667E4A" w14:textId="77777777" w:rsidR="00621ED9" w:rsidRDefault="001536E2" w:rsidP="00E95929">
      <w:pPr>
        <w:numPr>
          <w:ilvl w:val="0"/>
          <w:numId w:val="2"/>
        </w:numPr>
        <w:spacing w:after="0"/>
        <w:ind w:left="1276" w:hanging="360"/>
        <w:contextualSpacing/>
        <w:rPr>
          <w:rFonts w:ascii="Arial" w:eastAsia="Arial" w:hAnsi="Arial" w:cs="Arial"/>
        </w:rPr>
      </w:pPr>
      <w:r>
        <w:rPr>
          <w:rFonts w:ascii="Arial" w:eastAsia="Arial" w:hAnsi="Arial" w:cs="Arial"/>
        </w:rPr>
        <w:t>Section B: HEFCE’s feedback on the University’s detailed submission, and progress against their recommendations.</w:t>
      </w:r>
    </w:p>
    <w:p w14:paraId="7107A70F" w14:textId="77777777" w:rsidR="00621ED9" w:rsidRDefault="001536E2" w:rsidP="00E95929">
      <w:pPr>
        <w:numPr>
          <w:ilvl w:val="0"/>
          <w:numId w:val="2"/>
        </w:numPr>
        <w:spacing w:after="0"/>
        <w:ind w:left="1276" w:hanging="360"/>
        <w:contextualSpacing/>
        <w:rPr>
          <w:rFonts w:ascii="Arial" w:eastAsia="Arial" w:hAnsi="Arial" w:cs="Arial"/>
        </w:rPr>
      </w:pPr>
      <w:r>
        <w:rPr>
          <w:rFonts w:ascii="Arial" w:eastAsia="Arial" w:hAnsi="Arial" w:cs="Arial"/>
        </w:rPr>
        <w:t xml:space="preserve">Section C: At the request of Audit Committee, Mazars </w:t>
      </w:r>
      <w:r w:rsidR="007521BB">
        <w:rPr>
          <w:rFonts w:ascii="Arial" w:eastAsia="Arial" w:hAnsi="Arial" w:cs="Arial"/>
        </w:rPr>
        <w:t xml:space="preserve">LLP </w:t>
      </w:r>
      <w:r>
        <w:rPr>
          <w:rFonts w:ascii="Arial" w:eastAsia="Arial" w:hAnsi="Arial" w:cs="Arial"/>
        </w:rPr>
        <w:t xml:space="preserve">audited the University’s Prevent compliance and made recommendations. Progress against implementing the recommendations is reported in this section. </w:t>
      </w:r>
    </w:p>
    <w:p w14:paraId="4DA0E3E8" w14:textId="77777777" w:rsidR="00621ED9" w:rsidRPr="0027376F" w:rsidRDefault="001536E2" w:rsidP="00E95929">
      <w:pPr>
        <w:numPr>
          <w:ilvl w:val="0"/>
          <w:numId w:val="2"/>
        </w:numPr>
        <w:spacing w:after="0"/>
        <w:ind w:left="1276" w:hanging="360"/>
        <w:contextualSpacing/>
        <w:rPr>
          <w:rFonts w:ascii="Arial" w:eastAsia="Arial" w:hAnsi="Arial" w:cs="Arial"/>
        </w:rPr>
      </w:pPr>
      <w:r>
        <w:rPr>
          <w:rFonts w:ascii="Arial" w:eastAsia="Arial" w:hAnsi="Arial" w:cs="Arial"/>
        </w:rPr>
        <w:t>Section D</w:t>
      </w:r>
      <w:r w:rsidR="0027376F">
        <w:rPr>
          <w:rFonts w:ascii="Arial" w:eastAsia="Arial" w:hAnsi="Arial" w:cs="Arial"/>
        </w:rPr>
        <w:t>:</w:t>
      </w:r>
      <w:r>
        <w:rPr>
          <w:rFonts w:ascii="Arial" w:eastAsia="Arial" w:hAnsi="Arial" w:cs="Arial"/>
        </w:rPr>
        <w:t xml:space="preserve"> </w:t>
      </w:r>
      <w:r w:rsidR="0027376F">
        <w:rPr>
          <w:rFonts w:ascii="Arial" w:eastAsia="Arial" w:hAnsi="Arial" w:cs="Arial"/>
        </w:rPr>
        <w:t xml:space="preserve">Data </w:t>
      </w:r>
      <w:r>
        <w:rPr>
          <w:rFonts w:ascii="Arial" w:eastAsia="Arial" w:hAnsi="Arial" w:cs="Arial"/>
        </w:rPr>
        <w:t xml:space="preserve">on Prevent-related activities. </w:t>
      </w:r>
    </w:p>
    <w:p w14:paraId="3054260E" w14:textId="77777777" w:rsidR="00621ED9" w:rsidRDefault="001536E2">
      <w:pPr>
        <w:numPr>
          <w:ilvl w:val="1"/>
          <w:numId w:val="4"/>
        </w:numPr>
        <w:spacing w:after="0"/>
        <w:ind w:left="567" w:hanging="567"/>
        <w:contextualSpacing/>
        <w:rPr>
          <w:rFonts w:ascii="Arial" w:eastAsia="Arial" w:hAnsi="Arial" w:cs="Arial"/>
        </w:rPr>
      </w:pPr>
      <w:r>
        <w:rPr>
          <w:rFonts w:ascii="Arial" w:eastAsia="Arial" w:hAnsi="Arial" w:cs="Arial"/>
        </w:rPr>
        <w:t xml:space="preserve">There is information presented in this </w:t>
      </w:r>
      <w:r w:rsidR="0027376F">
        <w:rPr>
          <w:rFonts w:ascii="Arial" w:eastAsia="Arial" w:hAnsi="Arial" w:cs="Arial"/>
        </w:rPr>
        <w:t>report that both the University</w:t>
      </w:r>
      <w:r>
        <w:rPr>
          <w:rFonts w:ascii="Arial" w:eastAsia="Arial" w:hAnsi="Arial" w:cs="Arial"/>
        </w:rPr>
        <w:t xml:space="preserve"> Board of Trustees and HEFCE have already seen.</w:t>
      </w:r>
    </w:p>
    <w:p w14:paraId="2744BAB5" w14:textId="77777777" w:rsidR="00780475" w:rsidRDefault="00780475" w:rsidP="00780475">
      <w:pPr>
        <w:spacing w:after="0"/>
        <w:contextualSpacing/>
        <w:rPr>
          <w:rFonts w:ascii="Arial" w:eastAsia="Arial" w:hAnsi="Arial" w:cs="Arial"/>
        </w:rPr>
      </w:pPr>
    </w:p>
    <w:p w14:paraId="12BB8082" w14:textId="77777777" w:rsidR="00621ED9" w:rsidRDefault="001536E2">
      <w:pPr>
        <w:numPr>
          <w:ilvl w:val="0"/>
          <w:numId w:val="3"/>
        </w:numPr>
        <w:spacing w:after="0"/>
        <w:ind w:left="567" w:hanging="567"/>
        <w:contextualSpacing/>
        <w:rPr>
          <w:rFonts w:ascii="Arial" w:eastAsia="Arial" w:hAnsi="Arial" w:cs="Arial"/>
          <w:b/>
        </w:rPr>
      </w:pPr>
      <w:r>
        <w:rPr>
          <w:rFonts w:ascii="Arial" w:eastAsia="Arial" w:hAnsi="Arial" w:cs="Arial"/>
          <w:b/>
        </w:rPr>
        <w:t>Section A: Information submitted to HEFCE</w:t>
      </w:r>
    </w:p>
    <w:p w14:paraId="3E3DAB08" w14:textId="77777777" w:rsidR="00621ED9" w:rsidRPr="005C5B93" w:rsidRDefault="001536E2" w:rsidP="005C5B93">
      <w:pPr>
        <w:numPr>
          <w:ilvl w:val="1"/>
          <w:numId w:val="5"/>
        </w:numPr>
        <w:spacing w:after="0"/>
        <w:ind w:left="567" w:hanging="567"/>
        <w:contextualSpacing/>
        <w:rPr>
          <w:rFonts w:ascii="Arial" w:eastAsia="Arial" w:hAnsi="Arial" w:cs="Arial"/>
        </w:rPr>
      </w:pPr>
      <w:r>
        <w:rPr>
          <w:rFonts w:ascii="Arial" w:eastAsia="Arial" w:hAnsi="Arial" w:cs="Arial"/>
        </w:rPr>
        <w:t>This is a listing of the information supplied to HEFCE in the detailed submission in April 2016. Where there is progress information that it is useful for the Board to be aware of, it is included here. Where HEFCE and/or Mazars have recommended changes, these are detailed in sections B and C.</w:t>
      </w:r>
    </w:p>
    <w:p w14:paraId="5ED72766" w14:textId="7AE73D2B"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Risk assessment and action plan</w:t>
      </w:r>
    </w:p>
    <w:p w14:paraId="7F0F578E" w14:textId="46381EB7" w:rsidR="00621ED9" w:rsidRDefault="001536E2">
      <w:pPr>
        <w:spacing w:after="0"/>
        <w:ind w:left="567"/>
      </w:pPr>
      <w:r>
        <w:rPr>
          <w:rFonts w:ascii="Arial" w:eastAsia="Arial" w:hAnsi="Arial" w:cs="Arial"/>
        </w:rPr>
        <w:t>The University of Bristol’s internal auditors, Mazars, made recommendations on the f</w:t>
      </w:r>
      <w:r w:rsidR="00D65414">
        <w:rPr>
          <w:rFonts w:ascii="Arial" w:eastAsia="Arial" w:hAnsi="Arial" w:cs="Arial"/>
        </w:rPr>
        <w:t>ormat</w:t>
      </w:r>
      <w:r>
        <w:rPr>
          <w:rFonts w:ascii="Arial" w:eastAsia="Arial" w:hAnsi="Arial" w:cs="Arial"/>
        </w:rPr>
        <w:t xml:space="preserve"> of both these documents, which were submitted to HEFCE in April 2016. The details of these recommendations and subsequent changes </w:t>
      </w:r>
      <w:r w:rsidR="005C5B93">
        <w:rPr>
          <w:rFonts w:ascii="Arial" w:eastAsia="Arial" w:hAnsi="Arial" w:cs="Arial"/>
        </w:rPr>
        <w:t>made are outlined in section 3</w:t>
      </w:r>
      <w:r w:rsidR="00FE1413">
        <w:rPr>
          <w:rFonts w:ascii="Arial" w:eastAsia="Arial" w:hAnsi="Arial" w:cs="Arial"/>
        </w:rPr>
        <w:t xml:space="preserve"> (and attached as Appendix </w:t>
      </w:r>
      <w:proofErr w:type="spellStart"/>
      <w:r w:rsidR="00FE1413">
        <w:rPr>
          <w:rFonts w:ascii="Arial" w:eastAsia="Arial" w:hAnsi="Arial" w:cs="Arial"/>
        </w:rPr>
        <w:t>i</w:t>
      </w:r>
      <w:proofErr w:type="spellEnd"/>
      <w:r w:rsidR="00FE1413">
        <w:rPr>
          <w:rFonts w:ascii="Arial" w:eastAsia="Arial" w:hAnsi="Arial" w:cs="Arial"/>
        </w:rPr>
        <w:t>)</w:t>
      </w:r>
      <w:r w:rsidR="005C5B93">
        <w:rPr>
          <w:rFonts w:ascii="Arial" w:eastAsia="Arial" w:hAnsi="Arial" w:cs="Arial"/>
        </w:rPr>
        <w:t>.</w:t>
      </w:r>
    </w:p>
    <w:p w14:paraId="0A9EEB2F"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Policies and procedures for approving external speakers</w:t>
      </w:r>
    </w:p>
    <w:p w14:paraId="0DB122A6" w14:textId="77777777" w:rsidR="00621ED9" w:rsidRDefault="001536E2">
      <w:pPr>
        <w:spacing w:after="0"/>
        <w:ind w:left="567"/>
      </w:pPr>
      <w:r>
        <w:rPr>
          <w:rFonts w:ascii="Arial" w:eastAsia="Arial" w:hAnsi="Arial" w:cs="Arial"/>
        </w:rPr>
        <w:t xml:space="preserve">The University of Bristol’s ‘Freedom of Speech Code of Practice’ was approved by the Board of Trustees in July 2016, and was submitted to HEFCE shortly thereafter. </w:t>
      </w:r>
      <w:r w:rsidR="008525F2">
        <w:rPr>
          <w:rFonts w:ascii="Arial" w:eastAsia="Arial" w:hAnsi="Arial" w:cs="Arial"/>
        </w:rPr>
        <w:t xml:space="preserve">This was an agreed extension to the original April deadline. </w:t>
      </w:r>
    </w:p>
    <w:p w14:paraId="5F8AF319"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Senior management and governance oversight</w:t>
      </w:r>
    </w:p>
    <w:p w14:paraId="709CFA25" w14:textId="71C1F0C7" w:rsidR="00621ED9" w:rsidRDefault="001536E2">
      <w:pPr>
        <w:spacing w:after="0"/>
        <w:ind w:left="567"/>
      </w:pPr>
      <w:r>
        <w:rPr>
          <w:rFonts w:ascii="Arial" w:eastAsia="Arial" w:hAnsi="Arial" w:cs="Arial"/>
        </w:rPr>
        <w:t xml:space="preserve">Arrangements for this are as described in the </w:t>
      </w:r>
      <w:r w:rsidR="007521BB" w:rsidRPr="007521BB">
        <w:rPr>
          <w:rFonts w:ascii="Arial" w:eastAsia="Arial" w:hAnsi="Arial" w:cs="Arial"/>
          <w:i/>
        </w:rPr>
        <w:t>Summary Report</w:t>
      </w:r>
      <w:r w:rsidR="001B7B91">
        <w:rPr>
          <w:rStyle w:val="FootnoteReference"/>
          <w:rFonts w:ascii="Arial" w:eastAsia="Arial" w:hAnsi="Arial" w:cs="Arial"/>
          <w:i/>
        </w:rPr>
        <w:footnoteReference w:id="2"/>
      </w:r>
      <w:r w:rsidR="005C5B93">
        <w:rPr>
          <w:rFonts w:ascii="Arial" w:eastAsia="Arial" w:hAnsi="Arial" w:cs="Arial"/>
        </w:rPr>
        <w:t>.</w:t>
      </w:r>
    </w:p>
    <w:p w14:paraId="51354524"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Engaging with students</w:t>
      </w:r>
    </w:p>
    <w:p w14:paraId="03AA5EE8" w14:textId="77777777" w:rsidR="00621ED9" w:rsidRDefault="001536E2">
      <w:pPr>
        <w:spacing w:after="0"/>
        <w:ind w:left="567"/>
      </w:pPr>
      <w:r>
        <w:rPr>
          <w:rFonts w:ascii="Arial" w:eastAsia="Arial" w:hAnsi="Arial" w:cs="Arial"/>
        </w:rPr>
        <w:t xml:space="preserve">Arrangements for this are as described in the Summary </w:t>
      </w:r>
      <w:r w:rsidRPr="00780475">
        <w:rPr>
          <w:rFonts w:ascii="Arial" w:eastAsia="Arial" w:hAnsi="Arial" w:cs="Arial"/>
          <w:i/>
        </w:rPr>
        <w:t>Report</w:t>
      </w:r>
      <w:r w:rsidR="005C5B93">
        <w:rPr>
          <w:rFonts w:ascii="Arial" w:eastAsia="Arial" w:hAnsi="Arial" w:cs="Arial"/>
        </w:rPr>
        <w:t>.</w:t>
      </w:r>
    </w:p>
    <w:p w14:paraId="3A07A22E"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Training staff</w:t>
      </w:r>
    </w:p>
    <w:p w14:paraId="51E58584" w14:textId="3EA69EEE" w:rsidR="00621ED9" w:rsidRDefault="001536E2">
      <w:pPr>
        <w:spacing w:after="0"/>
        <w:ind w:left="567"/>
      </w:pPr>
      <w:r>
        <w:rPr>
          <w:rFonts w:ascii="Arial" w:eastAsia="Arial" w:hAnsi="Arial" w:cs="Arial"/>
        </w:rPr>
        <w:t xml:space="preserve">Proposals for training staff were </w:t>
      </w:r>
      <w:r w:rsidR="00780475">
        <w:rPr>
          <w:rFonts w:ascii="Arial" w:eastAsia="Arial" w:hAnsi="Arial" w:cs="Arial"/>
        </w:rPr>
        <w:t>provided</w:t>
      </w:r>
      <w:r>
        <w:rPr>
          <w:rFonts w:ascii="Arial" w:eastAsia="Arial" w:hAnsi="Arial" w:cs="Arial"/>
        </w:rPr>
        <w:t xml:space="preserve">. </w:t>
      </w:r>
      <w:r w:rsidR="008525F2">
        <w:rPr>
          <w:rFonts w:ascii="Arial" w:eastAsia="Arial" w:hAnsi="Arial" w:cs="Arial"/>
        </w:rPr>
        <w:t xml:space="preserve">In correspondence following our submission, </w:t>
      </w:r>
      <w:r w:rsidR="00780475">
        <w:rPr>
          <w:rFonts w:ascii="Arial" w:eastAsia="Arial" w:hAnsi="Arial" w:cs="Arial"/>
        </w:rPr>
        <w:t xml:space="preserve">HEFCE requested </w:t>
      </w:r>
      <w:r>
        <w:rPr>
          <w:rFonts w:ascii="Arial" w:eastAsia="Arial" w:hAnsi="Arial" w:cs="Arial"/>
        </w:rPr>
        <w:t>further information about the University’s training plans</w:t>
      </w:r>
      <w:r w:rsidR="008525F2">
        <w:rPr>
          <w:rFonts w:ascii="Arial" w:eastAsia="Arial" w:hAnsi="Arial" w:cs="Arial"/>
        </w:rPr>
        <w:t xml:space="preserve"> and this was provided. In their feedback letter they asked for further detail. As originally planned, a</w:t>
      </w:r>
      <w:r>
        <w:rPr>
          <w:rFonts w:ascii="Arial" w:eastAsia="Arial" w:hAnsi="Arial" w:cs="Arial"/>
        </w:rPr>
        <w:t xml:space="preserve"> detailed training proposal has been drafted. </w:t>
      </w:r>
      <w:r w:rsidR="0080435D">
        <w:rPr>
          <w:rFonts w:ascii="Arial" w:eastAsia="Arial" w:hAnsi="Arial" w:cs="Arial"/>
        </w:rPr>
        <w:t>See Appendix ii</w:t>
      </w:r>
      <w:r w:rsidR="008525F2">
        <w:rPr>
          <w:rFonts w:ascii="Arial" w:eastAsia="Arial" w:hAnsi="Arial" w:cs="Arial"/>
        </w:rPr>
        <w:t>.</w:t>
      </w:r>
    </w:p>
    <w:p w14:paraId="6D400BBE"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Sharing information internally and externally about vulnerable students</w:t>
      </w:r>
    </w:p>
    <w:p w14:paraId="4D0F5C5A" w14:textId="77777777" w:rsidR="00621ED9" w:rsidRDefault="001536E2">
      <w:pPr>
        <w:spacing w:after="0"/>
        <w:ind w:left="567"/>
      </w:pPr>
      <w:r>
        <w:rPr>
          <w:rFonts w:ascii="Arial" w:eastAsia="Arial" w:hAnsi="Arial" w:cs="Arial"/>
        </w:rPr>
        <w:t>Arrangements for this are as de</w:t>
      </w:r>
      <w:r w:rsidR="007521BB">
        <w:rPr>
          <w:rFonts w:ascii="Arial" w:eastAsia="Arial" w:hAnsi="Arial" w:cs="Arial"/>
        </w:rPr>
        <w:t xml:space="preserve">scribed in the </w:t>
      </w:r>
      <w:r w:rsidR="007521BB" w:rsidRPr="007521BB">
        <w:rPr>
          <w:rFonts w:ascii="Arial" w:eastAsia="Arial" w:hAnsi="Arial" w:cs="Arial"/>
          <w:i/>
        </w:rPr>
        <w:t>Summary Report</w:t>
      </w:r>
      <w:r>
        <w:rPr>
          <w:rFonts w:ascii="Arial" w:eastAsia="Arial" w:hAnsi="Arial" w:cs="Arial"/>
        </w:rPr>
        <w:t xml:space="preserve">. </w:t>
      </w:r>
      <w:r w:rsidR="007521BB">
        <w:rPr>
          <w:rFonts w:ascii="Arial" w:eastAsia="Arial" w:hAnsi="Arial" w:cs="Arial"/>
        </w:rPr>
        <w:t xml:space="preserve">The </w:t>
      </w:r>
      <w:r>
        <w:rPr>
          <w:rFonts w:ascii="Arial" w:eastAsia="Arial" w:hAnsi="Arial" w:cs="Arial"/>
        </w:rPr>
        <w:t xml:space="preserve">University </w:t>
      </w:r>
      <w:r w:rsidR="007521BB">
        <w:rPr>
          <w:rFonts w:ascii="Arial" w:eastAsia="Arial" w:hAnsi="Arial" w:cs="Arial"/>
        </w:rPr>
        <w:t xml:space="preserve">has </w:t>
      </w:r>
      <w:r>
        <w:rPr>
          <w:rFonts w:ascii="Arial" w:eastAsia="Arial" w:hAnsi="Arial" w:cs="Arial"/>
        </w:rPr>
        <w:t xml:space="preserve">explored the possibility of setting up a formal information sharing agreement with Avon and Somerset </w:t>
      </w:r>
      <w:r w:rsidR="008525F2">
        <w:rPr>
          <w:rFonts w:ascii="Arial" w:eastAsia="Arial" w:hAnsi="Arial" w:cs="Arial"/>
        </w:rPr>
        <w:t>Constabulary, who are not prepared to enter into such an arrangement.</w:t>
      </w:r>
    </w:p>
    <w:p w14:paraId="6156CAED"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Pastoral care and chaplaincy support</w:t>
      </w:r>
    </w:p>
    <w:p w14:paraId="59B3C4F5" w14:textId="6D011A83" w:rsidR="00621ED9" w:rsidRDefault="001536E2">
      <w:pPr>
        <w:spacing w:after="0"/>
        <w:ind w:left="567"/>
      </w:pPr>
      <w:r>
        <w:rPr>
          <w:rFonts w:ascii="Arial" w:eastAsia="Arial" w:hAnsi="Arial" w:cs="Arial"/>
        </w:rPr>
        <w:lastRenderedPageBreak/>
        <w:t xml:space="preserve">Arrangements for this are as described in the </w:t>
      </w:r>
      <w:r w:rsidRPr="007521BB">
        <w:rPr>
          <w:rFonts w:ascii="Arial" w:eastAsia="Arial" w:hAnsi="Arial" w:cs="Arial"/>
          <w:i/>
        </w:rPr>
        <w:t>Summary Report</w:t>
      </w:r>
      <w:r>
        <w:rPr>
          <w:rFonts w:ascii="Arial" w:eastAsia="Arial" w:hAnsi="Arial" w:cs="Arial"/>
        </w:rPr>
        <w:t xml:space="preserve">. </w:t>
      </w:r>
      <w:r w:rsidR="00EF24A5">
        <w:rPr>
          <w:rFonts w:ascii="Arial" w:eastAsia="Arial" w:hAnsi="Arial" w:cs="Arial"/>
        </w:rPr>
        <w:t>It is noted that in HEFCE’s summary of sector-wide practice</w:t>
      </w:r>
      <w:r w:rsidR="00EF24A5">
        <w:rPr>
          <w:rStyle w:val="FootnoteReference"/>
          <w:rFonts w:ascii="Arial" w:eastAsia="Arial" w:hAnsi="Arial" w:cs="Arial"/>
        </w:rPr>
        <w:footnoteReference w:id="3"/>
      </w:r>
      <w:r w:rsidR="00EF24A5">
        <w:rPr>
          <w:rFonts w:ascii="Arial" w:eastAsia="Arial" w:hAnsi="Arial" w:cs="Arial"/>
        </w:rPr>
        <w:t>, it was considered good practice to have a ‘clearly defined approach to recruitment, training and oversight of chaplains’. Bristol has this in place though a memorandum of understanding and over</w:t>
      </w:r>
      <w:r w:rsidR="00991CB7">
        <w:rPr>
          <w:rFonts w:ascii="Arial" w:eastAsia="Arial" w:hAnsi="Arial" w:cs="Arial"/>
        </w:rPr>
        <w:t>s</w:t>
      </w:r>
      <w:r w:rsidR="00EF24A5">
        <w:rPr>
          <w:rFonts w:ascii="Arial" w:eastAsia="Arial" w:hAnsi="Arial" w:cs="Arial"/>
        </w:rPr>
        <w:t>ight offer</w:t>
      </w:r>
      <w:r w:rsidR="00287470">
        <w:rPr>
          <w:rFonts w:ascii="Arial" w:eastAsia="Arial" w:hAnsi="Arial" w:cs="Arial"/>
        </w:rPr>
        <w:t xml:space="preserve">ed by the Coordinating Chaplain, and </w:t>
      </w:r>
      <w:r w:rsidR="00EC7E76">
        <w:rPr>
          <w:rFonts w:ascii="Arial" w:eastAsia="Arial" w:hAnsi="Arial" w:cs="Arial"/>
        </w:rPr>
        <w:t xml:space="preserve">£5k of </w:t>
      </w:r>
      <w:r w:rsidR="00287470">
        <w:rPr>
          <w:rFonts w:ascii="Arial" w:eastAsia="Arial" w:hAnsi="Arial" w:cs="Arial"/>
        </w:rPr>
        <w:t xml:space="preserve">additional funds have been made available to the Chaplaincy </w:t>
      </w:r>
      <w:r w:rsidR="00EC7E76">
        <w:rPr>
          <w:rFonts w:ascii="Arial" w:eastAsia="Arial" w:hAnsi="Arial" w:cs="Arial"/>
        </w:rPr>
        <w:t xml:space="preserve">in 2016/17 </w:t>
      </w:r>
      <w:r w:rsidR="00287470">
        <w:rPr>
          <w:rFonts w:ascii="Arial" w:eastAsia="Arial" w:hAnsi="Arial" w:cs="Arial"/>
        </w:rPr>
        <w:t xml:space="preserve">to </w:t>
      </w:r>
      <w:r w:rsidR="00991CB7">
        <w:rPr>
          <w:rFonts w:ascii="Arial" w:eastAsia="Arial" w:hAnsi="Arial" w:cs="Arial"/>
        </w:rPr>
        <w:t>ensure sufficient Chaplaincy provision</w:t>
      </w:r>
      <w:r w:rsidR="00287470">
        <w:rPr>
          <w:rFonts w:ascii="Arial" w:eastAsia="Arial" w:hAnsi="Arial" w:cs="Arial"/>
        </w:rPr>
        <w:t>.</w:t>
      </w:r>
      <w:r w:rsidR="00EF24A5">
        <w:rPr>
          <w:rFonts w:ascii="Arial" w:eastAsia="Arial" w:hAnsi="Arial" w:cs="Arial"/>
        </w:rPr>
        <w:t xml:space="preserve"> HEFCE also expressed the value they place in clear </w:t>
      </w:r>
      <w:r w:rsidR="00287470">
        <w:rPr>
          <w:rFonts w:ascii="Arial" w:eastAsia="Arial" w:hAnsi="Arial" w:cs="Arial"/>
        </w:rPr>
        <w:t xml:space="preserve">faith facility </w:t>
      </w:r>
      <w:r w:rsidR="00EF24A5">
        <w:rPr>
          <w:rFonts w:ascii="Arial" w:eastAsia="Arial" w:hAnsi="Arial" w:cs="Arial"/>
        </w:rPr>
        <w:t xml:space="preserve">usage policies, widely communicated, which have student involvement </w:t>
      </w:r>
      <w:r w:rsidR="00287470">
        <w:rPr>
          <w:rFonts w:ascii="Arial" w:eastAsia="Arial" w:hAnsi="Arial" w:cs="Arial"/>
        </w:rPr>
        <w:t xml:space="preserve">in the management of faith facilities with </w:t>
      </w:r>
      <w:r w:rsidR="00EF24A5">
        <w:rPr>
          <w:rFonts w:ascii="Arial" w:eastAsia="Arial" w:hAnsi="Arial" w:cs="Arial"/>
        </w:rPr>
        <w:t>appropriate oversight by the institution</w:t>
      </w:r>
      <w:r w:rsidR="00287470">
        <w:rPr>
          <w:rFonts w:ascii="Arial" w:eastAsia="Arial" w:hAnsi="Arial" w:cs="Arial"/>
        </w:rPr>
        <w:t xml:space="preserve">. This is addressed in a new </w:t>
      </w:r>
      <w:r>
        <w:rPr>
          <w:rFonts w:ascii="Arial" w:eastAsia="Arial" w:hAnsi="Arial" w:cs="Arial"/>
        </w:rPr>
        <w:t>policy for the management of prayer and faith facilities</w:t>
      </w:r>
      <w:r w:rsidR="00793E51">
        <w:rPr>
          <w:rFonts w:ascii="Arial" w:eastAsia="Arial" w:hAnsi="Arial" w:cs="Arial"/>
        </w:rPr>
        <w:t xml:space="preserve"> </w:t>
      </w:r>
      <w:r w:rsidR="00287470">
        <w:rPr>
          <w:rFonts w:ascii="Arial" w:eastAsia="Arial" w:hAnsi="Arial" w:cs="Arial"/>
        </w:rPr>
        <w:t>(</w:t>
      </w:r>
      <w:r w:rsidR="00793E51">
        <w:rPr>
          <w:rFonts w:ascii="Arial" w:eastAsia="Arial" w:hAnsi="Arial" w:cs="Arial"/>
        </w:rPr>
        <w:t xml:space="preserve">Appendix </w:t>
      </w:r>
      <w:r w:rsidR="0080435D">
        <w:rPr>
          <w:rFonts w:ascii="Arial" w:eastAsia="Arial" w:hAnsi="Arial" w:cs="Arial"/>
        </w:rPr>
        <w:t>iii</w:t>
      </w:r>
      <w:r w:rsidR="00287470">
        <w:rPr>
          <w:rFonts w:ascii="Arial" w:eastAsia="Arial" w:hAnsi="Arial" w:cs="Arial"/>
        </w:rPr>
        <w:t>)</w:t>
      </w:r>
      <w:r w:rsidR="008525F2">
        <w:rPr>
          <w:rFonts w:ascii="Arial" w:eastAsia="Arial" w:hAnsi="Arial" w:cs="Arial"/>
        </w:rPr>
        <w:t>.</w:t>
      </w:r>
      <w:r w:rsidR="00241E6F">
        <w:rPr>
          <w:rFonts w:ascii="Arial" w:eastAsia="Arial" w:hAnsi="Arial" w:cs="Arial"/>
        </w:rPr>
        <w:t xml:space="preserve"> </w:t>
      </w:r>
    </w:p>
    <w:p w14:paraId="6097C331" w14:textId="77777777" w:rsidR="00621ED9" w:rsidRDefault="001536E2">
      <w:pPr>
        <w:numPr>
          <w:ilvl w:val="1"/>
          <w:numId w:val="5"/>
        </w:numPr>
        <w:spacing w:after="0"/>
        <w:ind w:left="567" w:hanging="567"/>
        <w:contextualSpacing/>
        <w:rPr>
          <w:rFonts w:ascii="Arial" w:eastAsia="Arial" w:hAnsi="Arial" w:cs="Arial"/>
        </w:rPr>
      </w:pPr>
      <w:r>
        <w:rPr>
          <w:rFonts w:ascii="Arial" w:eastAsia="Arial" w:hAnsi="Arial" w:cs="Arial"/>
          <w:i/>
        </w:rPr>
        <w:t>The use of the University’s computer facilities</w:t>
      </w:r>
    </w:p>
    <w:p w14:paraId="2828C2B4" w14:textId="0B595B8C" w:rsidR="00E95929" w:rsidRDefault="001536E2" w:rsidP="00E95929">
      <w:pPr>
        <w:spacing w:after="0"/>
        <w:ind w:left="567"/>
        <w:rPr>
          <w:rFonts w:ascii="Arial" w:eastAsia="Arial" w:hAnsi="Arial" w:cs="Arial"/>
        </w:rPr>
      </w:pPr>
      <w:r>
        <w:rPr>
          <w:rFonts w:ascii="Arial" w:eastAsia="Arial" w:hAnsi="Arial" w:cs="Arial"/>
        </w:rPr>
        <w:t xml:space="preserve">Arrangements for this are as described in the </w:t>
      </w:r>
      <w:r w:rsidRPr="007521BB">
        <w:rPr>
          <w:rFonts w:ascii="Arial" w:eastAsia="Arial" w:hAnsi="Arial" w:cs="Arial"/>
          <w:i/>
        </w:rPr>
        <w:t>Summary Report</w:t>
      </w:r>
      <w:r w:rsidR="00E95929">
        <w:rPr>
          <w:rFonts w:ascii="Arial" w:eastAsia="Arial" w:hAnsi="Arial" w:cs="Arial"/>
        </w:rPr>
        <w:t>, as is an explanation for the Unive</w:t>
      </w:r>
      <w:r w:rsidR="00150483">
        <w:rPr>
          <w:rFonts w:ascii="Arial" w:eastAsia="Arial" w:hAnsi="Arial" w:cs="Arial"/>
        </w:rPr>
        <w:t>rsity’s decision to not filter access to the web</w:t>
      </w:r>
      <w:r w:rsidR="00E95929">
        <w:rPr>
          <w:rFonts w:ascii="Arial" w:eastAsia="Arial" w:hAnsi="Arial" w:cs="Arial"/>
        </w:rPr>
        <w:t>.</w:t>
      </w:r>
    </w:p>
    <w:p w14:paraId="546C78DF" w14:textId="23F88769" w:rsidR="00621ED9" w:rsidRPr="00E95929" w:rsidRDefault="001536E2" w:rsidP="00E95929">
      <w:pPr>
        <w:pStyle w:val="ListParagraph"/>
        <w:numPr>
          <w:ilvl w:val="1"/>
          <w:numId w:val="5"/>
        </w:numPr>
        <w:spacing w:after="0"/>
        <w:ind w:left="567" w:hanging="567"/>
        <w:rPr>
          <w:rFonts w:ascii="Arial" w:eastAsia="Arial" w:hAnsi="Arial" w:cs="Arial"/>
        </w:rPr>
      </w:pPr>
      <w:r w:rsidRPr="00E95929">
        <w:rPr>
          <w:rFonts w:ascii="Arial" w:eastAsia="Arial" w:hAnsi="Arial" w:cs="Arial"/>
          <w:i/>
        </w:rPr>
        <w:t>Engaging with Bristol Students’ Union and its societies</w:t>
      </w:r>
    </w:p>
    <w:p w14:paraId="6065EF5B" w14:textId="77777777" w:rsidR="00621ED9" w:rsidRDefault="001536E2">
      <w:pPr>
        <w:spacing w:after="0"/>
        <w:ind w:left="567"/>
      </w:pPr>
      <w:r>
        <w:rPr>
          <w:rFonts w:ascii="Arial" w:eastAsia="Arial" w:hAnsi="Arial" w:cs="Arial"/>
        </w:rPr>
        <w:t xml:space="preserve">Arrangements for this are as described in </w:t>
      </w:r>
      <w:r w:rsidR="007521BB">
        <w:rPr>
          <w:rFonts w:ascii="Arial" w:eastAsia="Arial" w:hAnsi="Arial" w:cs="Arial"/>
        </w:rPr>
        <w:t xml:space="preserve">the </w:t>
      </w:r>
      <w:r w:rsidR="007521BB" w:rsidRPr="007521BB">
        <w:rPr>
          <w:rFonts w:ascii="Arial" w:eastAsia="Arial" w:hAnsi="Arial" w:cs="Arial"/>
          <w:i/>
        </w:rPr>
        <w:t>Summary Report</w:t>
      </w:r>
      <w:r>
        <w:rPr>
          <w:rFonts w:ascii="Arial" w:eastAsia="Arial" w:hAnsi="Arial" w:cs="Arial"/>
        </w:rPr>
        <w:t xml:space="preserve">. </w:t>
      </w:r>
      <w:r>
        <w:rPr>
          <w:rFonts w:ascii="Arial" w:eastAsia="Arial" w:hAnsi="Arial" w:cs="Arial"/>
        </w:rPr>
        <w:br/>
      </w:r>
    </w:p>
    <w:p w14:paraId="419C68ED" w14:textId="77777777" w:rsidR="00621ED9" w:rsidRDefault="001536E2">
      <w:pPr>
        <w:numPr>
          <w:ilvl w:val="0"/>
          <w:numId w:val="5"/>
        </w:numPr>
        <w:spacing w:after="0"/>
        <w:ind w:left="567" w:hanging="567"/>
        <w:contextualSpacing/>
        <w:rPr>
          <w:rFonts w:ascii="Arial" w:eastAsia="Arial" w:hAnsi="Arial" w:cs="Arial"/>
        </w:rPr>
      </w:pPr>
      <w:r>
        <w:rPr>
          <w:rFonts w:ascii="Arial" w:eastAsia="Arial" w:hAnsi="Arial" w:cs="Arial"/>
          <w:b/>
        </w:rPr>
        <w:t>Section B:  HEFCE’s feedback on the University’s detailed submission, and progress against their recommendations</w:t>
      </w:r>
    </w:p>
    <w:p w14:paraId="3B043DF1" w14:textId="05BC285B" w:rsidR="00780475" w:rsidRDefault="001536E2" w:rsidP="003C0D16">
      <w:pPr>
        <w:spacing w:after="0"/>
        <w:ind w:left="567"/>
      </w:pPr>
      <w:r>
        <w:rPr>
          <w:rFonts w:ascii="Arial" w:eastAsia="Arial" w:hAnsi="Arial" w:cs="Arial"/>
        </w:rPr>
        <w:t xml:space="preserve">Following the University’s detailed submission in April 2016, HEFCE requested further detail </w:t>
      </w:r>
      <w:r w:rsidR="00780475">
        <w:rPr>
          <w:rFonts w:ascii="Arial" w:eastAsia="Arial" w:hAnsi="Arial" w:cs="Arial"/>
        </w:rPr>
        <w:t>and made recommendations</w:t>
      </w:r>
      <w:r>
        <w:rPr>
          <w:rFonts w:ascii="Arial" w:eastAsia="Arial" w:hAnsi="Arial" w:cs="Arial"/>
        </w:rPr>
        <w:t xml:space="preserve">. </w:t>
      </w:r>
    </w:p>
    <w:p w14:paraId="2CC91ED1" w14:textId="0BDC3367" w:rsidR="00621ED9" w:rsidRPr="00B1679C" w:rsidRDefault="004343BD" w:rsidP="00B1679C">
      <w:pPr>
        <w:pStyle w:val="ListParagraph"/>
        <w:numPr>
          <w:ilvl w:val="1"/>
          <w:numId w:val="7"/>
        </w:numPr>
        <w:spacing w:after="0"/>
        <w:ind w:left="567" w:hanging="567"/>
        <w:rPr>
          <w:rFonts w:ascii="Arial" w:eastAsia="Arial" w:hAnsi="Arial" w:cs="Arial"/>
        </w:rPr>
      </w:pPr>
      <w:r>
        <w:rPr>
          <w:rFonts w:ascii="Arial" w:eastAsia="Arial" w:hAnsi="Arial" w:cs="Arial"/>
          <w:i/>
        </w:rPr>
        <w:t>Review and update</w:t>
      </w:r>
      <w:r w:rsidR="001536E2" w:rsidRPr="004343BD">
        <w:rPr>
          <w:rFonts w:ascii="Arial" w:eastAsia="Arial" w:hAnsi="Arial" w:cs="Arial"/>
          <w:i/>
        </w:rPr>
        <w:t xml:space="preserve"> staff welfare policies in light of the Prevent duty.</w:t>
      </w:r>
      <w:r w:rsidR="001536E2" w:rsidRPr="004343BD">
        <w:rPr>
          <w:rFonts w:ascii="Arial" w:eastAsia="Arial" w:hAnsi="Arial" w:cs="Arial"/>
          <w:i/>
        </w:rPr>
        <w:br/>
      </w:r>
      <w:r w:rsidR="001536E2" w:rsidRPr="004343BD">
        <w:rPr>
          <w:rFonts w:ascii="Arial" w:eastAsia="Arial" w:hAnsi="Arial" w:cs="Arial"/>
        </w:rPr>
        <w:t>The University does not have a specific policy for managing staff welfare. Instead, a case by case approach is taken wher</w:t>
      </w:r>
      <w:r>
        <w:rPr>
          <w:rFonts w:ascii="Arial" w:eastAsia="Arial" w:hAnsi="Arial" w:cs="Arial"/>
        </w:rPr>
        <w:t>e managers are encouraged to</w:t>
      </w:r>
      <w:r w:rsidR="001536E2" w:rsidRPr="004343BD">
        <w:rPr>
          <w:rFonts w:ascii="Arial" w:eastAsia="Arial" w:hAnsi="Arial" w:cs="Arial"/>
        </w:rPr>
        <w:t xml:space="preserve"> informal</w:t>
      </w:r>
      <w:r>
        <w:rPr>
          <w:rFonts w:ascii="Arial" w:eastAsia="Arial" w:hAnsi="Arial" w:cs="Arial"/>
        </w:rPr>
        <w:t>ly resolve</w:t>
      </w:r>
      <w:r w:rsidR="001536E2" w:rsidRPr="004343BD">
        <w:rPr>
          <w:rFonts w:ascii="Arial" w:eastAsia="Arial" w:hAnsi="Arial" w:cs="Arial"/>
        </w:rPr>
        <w:t xml:space="preserve"> problems, working with staff from the Human</w:t>
      </w:r>
      <w:r w:rsidR="008525F2">
        <w:rPr>
          <w:rFonts w:ascii="Arial" w:eastAsia="Arial" w:hAnsi="Arial" w:cs="Arial"/>
        </w:rPr>
        <w:t xml:space="preserve"> Resources Division</w:t>
      </w:r>
      <w:r w:rsidR="001536E2" w:rsidRPr="004343BD">
        <w:rPr>
          <w:rFonts w:ascii="Arial" w:eastAsia="Arial" w:hAnsi="Arial" w:cs="Arial"/>
        </w:rPr>
        <w:t>. It is recognised that certain issues may require</w:t>
      </w:r>
      <w:r>
        <w:rPr>
          <w:rFonts w:ascii="Arial" w:eastAsia="Arial" w:hAnsi="Arial" w:cs="Arial"/>
        </w:rPr>
        <w:t xml:space="preserve"> specialist input from </w:t>
      </w:r>
      <w:r w:rsidR="001536E2" w:rsidRPr="004343BD">
        <w:rPr>
          <w:rFonts w:ascii="Arial" w:eastAsia="Arial" w:hAnsi="Arial" w:cs="Arial"/>
        </w:rPr>
        <w:t xml:space="preserve">members of staff who are trained in </w:t>
      </w:r>
      <w:r w:rsidR="00991CB7">
        <w:rPr>
          <w:rFonts w:ascii="Arial" w:eastAsia="Arial" w:hAnsi="Arial" w:cs="Arial"/>
        </w:rPr>
        <w:t xml:space="preserve">the </w:t>
      </w:r>
      <w:r w:rsidR="001536E2" w:rsidRPr="004343BD">
        <w:rPr>
          <w:rFonts w:ascii="Arial" w:eastAsia="Arial" w:hAnsi="Arial" w:cs="Arial"/>
        </w:rPr>
        <w:t>Prevent</w:t>
      </w:r>
      <w:r w:rsidR="00991CB7">
        <w:rPr>
          <w:rFonts w:ascii="Arial" w:eastAsia="Arial" w:hAnsi="Arial" w:cs="Arial"/>
        </w:rPr>
        <w:t xml:space="preserve"> duty</w:t>
      </w:r>
      <w:r w:rsidR="001536E2" w:rsidRPr="004343BD">
        <w:rPr>
          <w:rFonts w:ascii="Arial" w:eastAsia="Arial" w:hAnsi="Arial" w:cs="Arial"/>
        </w:rPr>
        <w:t xml:space="preserve">. The University is considering delivering </w:t>
      </w:r>
      <w:r w:rsidR="00991CB7">
        <w:rPr>
          <w:rFonts w:ascii="Arial" w:eastAsia="Arial" w:hAnsi="Arial" w:cs="Arial"/>
        </w:rPr>
        <w:t>T</w:t>
      </w:r>
      <w:r w:rsidR="001536E2" w:rsidRPr="004343BD">
        <w:rPr>
          <w:rFonts w:ascii="Arial" w:eastAsia="Arial" w:hAnsi="Arial" w:cs="Arial"/>
        </w:rPr>
        <w:t>ier 2 tra</w:t>
      </w:r>
      <w:r w:rsidR="006D7443">
        <w:rPr>
          <w:rFonts w:ascii="Arial" w:eastAsia="Arial" w:hAnsi="Arial" w:cs="Arial"/>
        </w:rPr>
        <w:t xml:space="preserve">ining (as outlined in </w:t>
      </w:r>
      <w:r w:rsidR="00EC7E76">
        <w:rPr>
          <w:rFonts w:ascii="Arial" w:eastAsia="Arial" w:hAnsi="Arial" w:cs="Arial"/>
        </w:rPr>
        <w:t>A</w:t>
      </w:r>
      <w:r w:rsidR="006D7443">
        <w:rPr>
          <w:rFonts w:ascii="Arial" w:eastAsia="Arial" w:hAnsi="Arial" w:cs="Arial"/>
        </w:rPr>
        <w:t>p</w:t>
      </w:r>
      <w:r w:rsidR="0080435D">
        <w:rPr>
          <w:rFonts w:ascii="Arial" w:eastAsia="Arial" w:hAnsi="Arial" w:cs="Arial"/>
        </w:rPr>
        <w:t>pendix ii</w:t>
      </w:r>
      <w:r w:rsidR="001536E2" w:rsidRPr="004343BD">
        <w:rPr>
          <w:rFonts w:ascii="Arial" w:eastAsia="Arial" w:hAnsi="Arial" w:cs="Arial"/>
        </w:rPr>
        <w:t xml:space="preserve">) to HR Managers in order to </w:t>
      </w:r>
      <w:r w:rsidR="006D7443">
        <w:rPr>
          <w:rFonts w:ascii="Arial" w:eastAsia="Arial" w:hAnsi="Arial" w:cs="Arial"/>
        </w:rPr>
        <w:t xml:space="preserve">improve awareness of issues related to the Duty. </w:t>
      </w:r>
      <w:r w:rsidR="001536E2" w:rsidRPr="004343BD">
        <w:rPr>
          <w:rFonts w:ascii="Arial" w:eastAsia="Arial" w:hAnsi="Arial" w:cs="Arial"/>
        </w:rPr>
        <w:t xml:space="preserve">As there are no specialists within the Human Resources division </w:t>
      </w:r>
      <w:r w:rsidR="00991CB7">
        <w:rPr>
          <w:rFonts w:ascii="Arial" w:eastAsia="Arial" w:hAnsi="Arial" w:cs="Arial"/>
        </w:rPr>
        <w:t>to whom</w:t>
      </w:r>
      <w:r w:rsidR="00991CB7" w:rsidRPr="004343BD">
        <w:rPr>
          <w:rFonts w:ascii="Arial" w:eastAsia="Arial" w:hAnsi="Arial" w:cs="Arial"/>
        </w:rPr>
        <w:t xml:space="preserve"> </w:t>
      </w:r>
      <w:r w:rsidR="001536E2" w:rsidRPr="004343BD">
        <w:rPr>
          <w:rFonts w:ascii="Arial" w:eastAsia="Arial" w:hAnsi="Arial" w:cs="Arial"/>
        </w:rPr>
        <w:t>HR Man</w:t>
      </w:r>
      <w:r w:rsidR="006D7443">
        <w:rPr>
          <w:rFonts w:ascii="Arial" w:eastAsia="Arial" w:hAnsi="Arial" w:cs="Arial"/>
        </w:rPr>
        <w:t>agers can direct their concerns</w:t>
      </w:r>
      <w:r w:rsidR="001536E2" w:rsidRPr="004343BD">
        <w:rPr>
          <w:rFonts w:ascii="Arial" w:eastAsia="Arial" w:hAnsi="Arial" w:cs="Arial"/>
        </w:rPr>
        <w:t>, the</w:t>
      </w:r>
      <w:r>
        <w:rPr>
          <w:rFonts w:ascii="Arial" w:eastAsia="Arial" w:hAnsi="Arial" w:cs="Arial"/>
        </w:rPr>
        <w:t>y can</w:t>
      </w:r>
      <w:r w:rsidR="006D7443">
        <w:rPr>
          <w:rFonts w:ascii="Arial" w:eastAsia="Arial" w:hAnsi="Arial" w:cs="Arial"/>
        </w:rPr>
        <w:t xml:space="preserve"> sense-</w:t>
      </w:r>
      <w:r w:rsidR="001536E2" w:rsidRPr="004343BD">
        <w:rPr>
          <w:rFonts w:ascii="Arial" w:eastAsia="Arial" w:hAnsi="Arial" w:cs="Arial"/>
        </w:rPr>
        <w:t>check any concerns with the University’s Vulnerable Students’ Support Service.</w:t>
      </w:r>
      <w:r>
        <w:rPr>
          <w:rFonts w:ascii="Arial" w:eastAsia="Arial" w:hAnsi="Arial" w:cs="Arial"/>
        </w:rPr>
        <w:t xml:space="preserve"> Staff from the VSSS maintain links with the Regional Prevent Coordinator and can provide a meaningful external referral on a case-by-case basis. The VSSS </w:t>
      </w:r>
      <w:r w:rsidR="00991CB7">
        <w:rPr>
          <w:rFonts w:ascii="Arial" w:eastAsia="Arial" w:hAnsi="Arial" w:cs="Arial"/>
        </w:rPr>
        <w:t xml:space="preserve">will </w:t>
      </w:r>
      <w:r>
        <w:rPr>
          <w:rFonts w:ascii="Arial" w:eastAsia="Arial" w:hAnsi="Arial" w:cs="Arial"/>
        </w:rPr>
        <w:t>not take on staff casework.</w:t>
      </w:r>
      <w:r w:rsidR="001536E2" w:rsidRPr="004343BD">
        <w:rPr>
          <w:rFonts w:ascii="Arial" w:eastAsia="Arial" w:hAnsi="Arial" w:cs="Arial"/>
        </w:rPr>
        <w:br/>
      </w:r>
      <w:r w:rsidR="001536E2" w:rsidRPr="004343BD">
        <w:rPr>
          <w:rFonts w:ascii="Arial" w:eastAsia="Arial" w:hAnsi="Arial" w:cs="Arial"/>
        </w:rPr>
        <w:br/>
        <w:t xml:space="preserve">In addition, the University’s rules of conduct for staff </w:t>
      </w:r>
      <w:r>
        <w:rPr>
          <w:rFonts w:ascii="Arial" w:eastAsia="Arial" w:hAnsi="Arial" w:cs="Arial"/>
        </w:rPr>
        <w:t xml:space="preserve">(Ordinance 28) provides a mechanism to </w:t>
      </w:r>
      <w:r w:rsidR="001536E2" w:rsidRPr="004343BD">
        <w:rPr>
          <w:rFonts w:ascii="Arial" w:eastAsia="Arial" w:hAnsi="Arial" w:cs="Arial"/>
        </w:rPr>
        <w:t>ensu</w:t>
      </w:r>
      <w:r w:rsidR="00B1679C">
        <w:rPr>
          <w:rFonts w:ascii="Arial" w:eastAsia="Arial" w:hAnsi="Arial" w:cs="Arial"/>
        </w:rPr>
        <w:t xml:space="preserve">re that </w:t>
      </w:r>
      <w:r w:rsidR="00793E51">
        <w:rPr>
          <w:rFonts w:ascii="Arial" w:eastAsia="Arial" w:hAnsi="Arial" w:cs="Arial"/>
        </w:rPr>
        <w:t xml:space="preserve">cases where </w:t>
      </w:r>
      <w:r w:rsidR="00B1679C">
        <w:rPr>
          <w:rFonts w:ascii="Arial" w:eastAsia="Arial" w:hAnsi="Arial" w:cs="Arial"/>
        </w:rPr>
        <w:t>staff</w:t>
      </w:r>
      <w:r w:rsidR="00793E51">
        <w:rPr>
          <w:rFonts w:ascii="Arial" w:eastAsia="Arial" w:hAnsi="Arial" w:cs="Arial"/>
        </w:rPr>
        <w:t xml:space="preserve"> members have</w:t>
      </w:r>
      <w:r w:rsidR="00B1679C">
        <w:rPr>
          <w:rFonts w:ascii="Arial" w:eastAsia="Arial" w:hAnsi="Arial" w:cs="Arial"/>
        </w:rPr>
        <w:t xml:space="preserve"> </w:t>
      </w:r>
      <w:r w:rsidR="00793E51">
        <w:rPr>
          <w:rFonts w:ascii="Arial" w:eastAsia="Arial" w:hAnsi="Arial" w:cs="Arial"/>
        </w:rPr>
        <w:t>been</w:t>
      </w:r>
      <w:r w:rsidR="00B1679C">
        <w:rPr>
          <w:rFonts w:ascii="Arial" w:eastAsia="Arial" w:hAnsi="Arial" w:cs="Arial"/>
        </w:rPr>
        <w:t xml:space="preserve"> found to have acted unlawfully can be managed</w:t>
      </w:r>
      <w:r w:rsidR="001631BA">
        <w:rPr>
          <w:rFonts w:ascii="Arial" w:eastAsia="Arial" w:hAnsi="Arial" w:cs="Arial"/>
        </w:rPr>
        <w:t xml:space="preserve"> appropriately</w:t>
      </w:r>
      <w:r w:rsidR="00B1679C">
        <w:rPr>
          <w:rFonts w:ascii="Arial" w:eastAsia="Arial" w:hAnsi="Arial" w:cs="Arial"/>
        </w:rPr>
        <w:t>.</w:t>
      </w:r>
      <w:r w:rsidR="001536E2" w:rsidRPr="00B1679C">
        <w:rPr>
          <w:rFonts w:ascii="Arial" w:eastAsia="Arial" w:hAnsi="Arial" w:cs="Arial"/>
          <w:color w:val="FF0000"/>
        </w:rPr>
        <w:t xml:space="preserve">  </w:t>
      </w:r>
    </w:p>
    <w:p w14:paraId="3AB010B7" w14:textId="2714E0FF" w:rsidR="00621ED9" w:rsidRPr="003C0D16" w:rsidRDefault="001536E2" w:rsidP="003C0D16">
      <w:pPr>
        <w:pStyle w:val="ListParagraph"/>
        <w:numPr>
          <w:ilvl w:val="1"/>
          <w:numId w:val="10"/>
        </w:numPr>
        <w:spacing w:after="0"/>
        <w:ind w:left="567" w:hanging="567"/>
        <w:rPr>
          <w:rFonts w:ascii="Arial" w:eastAsia="Arial" w:hAnsi="Arial" w:cs="Arial"/>
          <w:i/>
        </w:rPr>
      </w:pPr>
      <w:r w:rsidRPr="003C0D16">
        <w:rPr>
          <w:rFonts w:ascii="Arial" w:eastAsia="Arial" w:hAnsi="Arial" w:cs="Arial"/>
          <w:i/>
        </w:rPr>
        <w:t>Development of policies and procedures for managing prayer and faith facilities.</w:t>
      </w:r>
    </w:p>
    <w:p w14:paraId="0F7E1FB0" w14:textId="1E33486F" w:rsidR="00621ED9" w:rsidRDefault="008F545F" w:rsidP="00B1679C">
      <w:pPr>
        <w:spacing w:after="0"/>
        <w:ind w:left="567"/>
        <w:rPr>
          <w:rFonts w:ascii="Arial" w:eastAsia="Arial" w:hAnsi="Arial" w:cs="Arial"/>
        </w:rPr>
      </w:pPr>
      <w:r>
        <w:rPr>
          <w:rFonts w:ascii="Arial" w:eastAsia="Arial" w:hAnsi="Arial" w:cs="Arial"/>
        </w:rPr>
        <w:t>This is still in development and will be appended to the fina</w:t>
      </w:r>
      <w:r w:rsidR="00150483">
        <w:rPr>
          <w:rFonts w:ascii="Arial" w:eastAsia="Arial" w:hAnsi="Arial" w:cs="Arial"/>
        </w:rPr>
        <w:t xml:space="preserve">l version of this report to be reviewed </w:t>
      </w:r>
      <w:r>
        <w:rPr>
          <w:rFonts w:ascii="Arial" w:eastAsia="Arial" w:hAnsi="Arial" w:cs="Arial"/>
        </w:rPr>
        <w:t>by the Board of Trustees in November</w:t>
      </w:r>
      <w:r w:rsidR="001536E2">
        <w:rPr>
          <w:rFonts w:ascii="Arial" w:eastAsia="Arial" w:hAnsi="Arial" w:cs="Arial"/>
        </w:rPr>
        <w:t xml:space="preserve"> (</w:t>
      </w:r>
      <w:r w:rsidR="006E20A5">
        <w:rPr>
          <w:rFonts w:ascii="Arial" w:eastAsia="Arial" w:hAnsi="Arial" w:cs="Arial"/>
        </w:rPr>
        <w:t xml:space="preserve">Appendix </w:t>
      </w:r>
      <w:r w:rsidR="001536E2">
        <w:rPr>
          <w:rFonts w:ascii="Arial" w:eastAsia="Arial" w:hAnsi="Arial" w:cs="Arial"/>
        </w:rPr>
        <w:t>i</w:t>
      </w:r>
      <w:r w:rsidR="0080435D">
        <w:rPr>
          <w:rFonts w:ascii="Arial" w:eastAsia="Arial" w:hAnsi="Arial" w:cs="Arial"/>
        </w:rPr>
        <w:t>ii</w:t>
      </w:r>
      <w:r w:rsidR="006E20A5">
        <w:rPr>
          <w:rFonts w:ascii="Arial" w:eastAsia="Arial" w:hAnsi="Arial" w:cs="Arial"/>
        </w:rPr>
        <w:t>)</w:t>
      </w:r>
      <w:r>
        <w:rPr>
          <w:rFonts w:ascii="Arial" w:eastAsia="Arial" w:hAnsi="Arial" w:cs="Arial"/>
        </w:rPr>
        <w:t>.</w:t>
      </w:r>
    </w:p>
    <w:p w14:paraId="7492694B" w14:textId="2DB1DBF0" w:rsidR="006E20A5" w:rsidRPr="003C0D16" w:rsidRDefault="006E20A5" w:rsidP="003C0D16">
      <w:pPr>
        <w:pStyle w:val="ListParagraph"/>
        <w:numPr>
          <w:ilvl w:val="1"/>
          <w:numId w:val="10"/>
        </w:numPr>
        <w:spacing w:after="0"/>
        <w:ind w:left="567" w:hanging="567"/>
        <w:rPr>
          <w:rFonts w:ascii="Arial" w:eastAsia="Arial" w:hAnsi="Arial" w:cs="Arial"/>
          <w:i/>
        </w:rPr>
      </w:pPr>
      <w:r w:rsidRPr="003C0D16">
        <w:rPr>
          <w:rFonts w:ascii="Arial" w:eastAsia="Arial" w:hAnsi="Arial" w:cs="Arial"/>
          <w:i/>
        </w:rPr>
        <w:t>Further information on training plans</w:t>
      </w:r>
    </w:p>
    <w:p w14:paraId="2FDE5197" w14:textId="0F0C6109" w:rsidR="006E20A5" w:rsidRPr="006E20A5" w:rsidRDefault="0012296D" w:rsidP="001631BA">
      <w:pPr>
        <w:pStyle w:val="ListParagraph"/>
        <w:spacing w:after="0"/>
        <w:ind w:left="567"/>
        <w:rPr>
          <w:rFonts w:ascii="Arial" w:eastAsia="Arial" w:hAnsi="Arial" w:cs="Arial"/>
        </w:rPr>
      </w:pPr>
      <w:r>
        <w:rPr>
          <w:rFonts w:ascii="Arial" w:eastAsia="Arial" w:hAnsi="Arial" w:cs="Arial"/>
        </w:rPr>
        <w:t>A paper outlining the University’s training plans in further de</w:t>
      </w:r>
      <w:r w:rsidR="0080435D">
        <w:rPr>
          <w:rFonts w:ascii="Arial" w:eastAsia="Arial" w:hAnsi="Arial" w:cs="Arial"/>
        </w:rPr>
        <w:t>tail is attached as Appendix ii</w:t>
      </w:r>
      <w:r>
        <w:rPr>
          <w:rFonts w:ascii="Arial" w:eastAsia="Arial" w:hAnsi="Arial" w:cs="Arial"/>
        </w:rPr>
        <w:t>. This paper has been drafted in consultation with the University’s Prevent Compliance Group.</w:t>
      </w:r>
    </w:p>
    <w:p w14:paraId="610E6E82" w14:textId="77777777" w:rsidR="00621ED9" w:rsidRPr="00B1679C" w:rsidRDefault="00621ED9" w:rsidP="00B437EC">
      <w:pPr>
        <w:spacing w:after="0"/>
        <w:rPr>
          <w:b/>
        </w:rPr>
      </w:pPr>
    </w:p>
    <w:p w14:paraId="01B25629" w14:textId="2DC2E017" w:rsidR="00621ED9" w:rsidRPr="00B1679C" w:rsidRDefault="00B1679C" w:rsidP="003C0D16">
      <w:pPr>
        <w:pStyle w:val="ListParagraph"/>
        <w:numPr>
          <w:ilvl w:val="0"/>
          <w:numId w:val="10"/>
        </w:numPr>
        <w:spacing w:after="0"/>
        <w:ind w:left="567" w:hanging="567"/>
        <w:rPr>
          <w:rFonts w:ascii="Arial" w:eastAsia="Arial" w:hAnsi="Arial" w:cs="Arial"/>
          <w:b/>
        </w:rPr>
      </w:pPr>
      <w:r>
        <w:rPr>
          <w:rFonts w:ascii="Arial" w:eastAsia="Arial" w:hAnsi="Arial" w:cs="Arial"/>
          <w:b/>
        </w:rPr>
        <w:t>Section C: Mazar</w:t>
      </w:r>
      <w:r w:rsidR="001536E2" w:rsidRPr="00B1679C">
        <w:rPr>
          <w:rFonts w:ascii="Arial" w:eastAsia="Arial" w:hAnsi="Arial" w:cs="Arial"/>
          <w:b/>
        </w:rPr>
        <w:t>s</w:t>
      </w:r>
      <w:r w:rsidR="0040358E">
        <w:rPr>
          <w:rFonts w:ascii="Arial" w:eastAsia="Arial" w:hAnsi="Arial" w:cs="Arial"/>
          <w:b/>
        </w:rPr>
        <w:t>’</w:t>
      </w:r>
      <w:r w:rsidR="001536E2" w:rsidRPr="00B1679C">
        <w:rPr>
          <w:rFonts w:ascii="Arial" w:eastAsia="Arial" w:hAnsi="Arial" w:cs="Arial"/>
          <w:b/>
        </w:rPr>
        <w:t xml:space="preserve"> recommendations and progress against</w:t>
      </w:r>
      <w:r w:rsidR="0040358E">
        <w:rPr>
          <w:rFonts w:ascii="Arial" w:eastAsia="Arial" w:hAnsi="Arial" w:cs="Arial"/>
          <w:b/>
        </w:rPr>
        <w:t xml:space="preserve"> them</w:t>
      </w:r>
      <w:r w:rsidR="001536E2" w:rsidRPr="00B1679C">
        <w:rPr>
          <w:rFonts w:ascii="Arial" w:eastAsia="Arial" w:hAnsi="Arial" w:cs="Arial"/>
          <w:b/>
        </w:rPr>
        <w:t xml:space="preserve"> </w:t>
      </w:r>
      <w:r w:rsidR="001536E2" w:rsidRPr="00B1679C">
        <w:rPr>
          <w:rFonts w:ascii="Arial" w:eastAsia="Arial" w:hAnsi="Arial" w:cs="Arial"/>
          <w:b/>
          <w:i/>
        </w:rPr>
        <w:t xml:space="preserve"> </w:t>
      </w:r>
    </w:p>
    <w:p w14:paraId="31A009B5" w14:textId="1E64F145" w:rsidR="00780475" w:rsidRDefault="00780475" w:rsidP="003C0D16">
      <w:pPr>
        <w:spacing w:after="0"/>
        <w:ind w:left="567"/>
        <w:contextualSpacing/>
        <w:rPr>
          <w:rFonts w:ascii="Arial" w:eastAsia="Arial" w:hAnsi="Arial" w:cs="Arial"/>
        </w:rPr>
      </w:pPr>
      <w:r>
        <w:rPr>
          <w:rFonts w:ascii="Arial" w:eastAsia="Arial" w:hAnsi="Arial" w:cs="Arial"/>
        </w:rPr>
        <w:t>Mazars</w:t>
      </w:r>
      <w:r w:rsidR="00B1679C">
        <w:rPr>
          <w:rFonts w:ascii="Arial" w:eastAsia="Arial" w:hAnsi="Arial" w:cs="Arial"/>
        </w:rPr>
        <w:t xml:space="preserve"> made a number of </w:t>
      </w:r>
      <w:r>
        <w:rPr>
          <w:rFonts w:ascii="Arial" w:eastAsia="Arial" w:hAnsi="Arial" w:cs="Arial"/>
        </w:rPr>
        <w:t>recommendations</w:t>
      </w:r>
      <w:r w:rsidR="006E20A5">
        <w:rPr>
          <w:rFonts w:ascii="Arial" w:eastAsia="Arial" w:hAnsi="Arial" w:cs="Arial"/>
        </w:rPr>
        <w:t>. This</w:t>
      </w:r>
      <w:r>
        <w:rPr>
          <w:rFonts w:ascii="Arial" w:eastAsia="Arial" w:hAnsi="Arial" w:cs="Arial"/>
        </w:rPr>
        <w:t xml:space="preserve"> section </w:t>
      </w:r>
      <w:r w:rsidR="006E20A5">
        <w:rPr>
          <w:rFonts w:ascii="Arial" w:eastAsia="Arial" w:hAnsi="Arial" w:cs="Arial"/>
        </w:rPr>
        <w:t>details what those recommendations were and what progress has been made.</w:t>
      </w:r>
    </w:p>
    <w:p w14:paraId="63A1420A" w14:textId="15363AB1" w:rsidR="00621ED9" w:rsidRPr="003C0D16" w:rsidRDefault="001536E2" w:rsidP="003C0D16">
      <w:pPr>
        <w:pStyle w:val="ListParagraph"/>
        <w:numPr>
          <w:ilvl w:val="1"/>
          <w:numId w:val="11"/>
        </w:numPr>
        <w:spacing w:after="0"/>
        <w:ind w:left="567" w:hanging="567"/>
        <w:rPr>
          <w:rFonts w:ascii="Arial" w:eastAsia="Arial" w:hAnsi="Arial" w:cs="Arial"/>
        </w:rPr>
      </w:pPr>
      <w:r w:rsidRPr="003C0D16">
        <w:rPr>
          <w:rFonts w:ascii="Arial" w:eastAsia="Arial" w:hAnsi="Arial" w:cs="Arial"/>
          <w:i/>
        </w:rPr>
        <w:t xml:space="preserve">Redraft existing </w:t>
      </w:r>
      <w:r w:rsidR="00150483">
        <w:rPr>
          <w:rFonts w:ascii="Arial" w:eastAsia="Arial" w:hAnsi="Arial" w:cs="Arial"/>
          <w:i/>
        </w:rPr>
        <w:t>risk assessment and action plan</w:t>
      </w:r>
    </w:p>
    <w:p w14:paraId="3C6F6FF2" w14:textId="77777777" w:rsidR="00621ED9" w:rsidRDefault="00B1679C" w:rsidP="003C0D16">
      <w:pPr>
        <w:spacing w:after="0"/>
        <w:ind w:left="567"/>
      </w:pPr>
      <w:bookmarkStart w:id="0" w:name="_t8mjkpcguzo1" w:colFirst="0" w:colLast="0"/>
      <w:bookmarkEnd w:id="0"/>
      <w:r>
        <w:rPr>
          <w:rFonts w:ascii="Arial" w:eastAsia="Arial" w:hAnsi="Arial" w:cs="Arial"/>
        </w:rPr>
        <w:lastRenderedPageBreak/>
        <w:t>Mazars</w:t>
      </w:r>
      <w:r w:rsidR="001536E2">
        <w:rPr>
          <w:rFonts w:ascii="Arial" w:eastAsia="Arial" w:hAnsi="Arial" w:cs="Arial"/>
        </w:rPr>
        <w:t xml:space="preserve"> recommended that the risk assessment and action plan be redrafted, and made the following specific recommendations: </w:t>
      </w:r>
    </w:p>
    <w:p w14:paraId="1A26697D" w14:textId="77777777" w:rsidR="00621ED9" w:rsidRDefault="00621ED9" w:rsidP="001631BA">
      <w:pPr>
        <w:spacing w:after="0"/>
        <w:ind w:left="567" w:hanging="567"/>
      </w:pPr>
      <w:bookmarkStart w:id="1" w:name="_gjdgxs" w:colFirst="0" w:colLast="0"/>
      <w:bookmarkEnd w:id="1"/>
    </w:p>
    <w:p w14:paraId="4EA99A54" w14:textId="1BD6A1AB" w:rsidR="00621ED9" w:rsidRDefault="001536E2" w:rsidP="00101961">
      <w:pPr>
        <w:numPr>
          <w:ilvl w:val="0"/>
          <w:numId w:val="1"/>
        </w:numPr>
        <w:spacing w:after="0"/>
        <w:ind w:left="851" w:hanging="284"/>
        <w:contextualSpacing/>
        <w:rPr>
          <w:rFonts w:ascii="Arial" w:eastAsia="Arial" w:hAnsi="Arial" w:cs="Arial"/>
        </w:rPr>
      </w:pPr>
      <w:r>
        <w:rPr>
          <w:rFonts w:ascii="Arial" w:eastAsia="Arial" w:hAnsi="Arial" w:cs="Arial"/>
        </w:rPr>
        <w:t xml:space="preserve">Inclusion of a pre and post risk score into the risk matrix, clearly referencing risks, and providing a score for both likelihood and severity; </w:t>
      </w:r>
    </w:p>
    <w:p w14:paraId="5B927203" w14:textId="77777777" w:rsidR="00621ED9" w:rsidRDefault="001536E2" w:rsidP="00101961">
      <w:pPr>
        <w:numPr>
          <w:ilvl w:val="0"/>
          <w:numId w:val="1"/>
        </w:numPr>
        <w:spacing w:after="0"/>
        <w:ind w:left="851" w:hanging="284"/>
        <w:contextualSpacing/>
        <w:rPr>
          <w:rFonts w:ascii="Arial" w:eastAsia="Arial" w:hAnsi="Arial" w:cs="Arial"/>
        </w:rPr>
      </w:pPr>
      <w:r>
        <w:rPr>
          <w:rFonts w:ascii="Arial" w:eastAsia="Arial" w:hAnsi="Arial" w:cs="Arial"/>
        </w:rPr>
        <w:t xml:space="preserve">Revision of the Risk Assessment and Action Plan in order to demonstrate a clear and documented link between risk and action; </w:t>
      </w:r>
    </w:p>
    <w:p w14:paraId="1C2CD3B4" w14:textId="77777777" w:rsidR="00621ED9" w:rsidRDefault="006E20A5" w:rsidP="00101961">
      <w:pPr>
        <w:numPr>
          <w:ilvl w:val="0"/>
          <w:numId w:val="1"/>
        </w:numPr>
        <w:spacing w:after="0"/>
        <w:ind w:left="851" w:hanging="284"/>
        <w:contextualSpacing/>
        <w:rPr>
          <w:rFonts w:ascii="Arial" w:eastAsia="Arial" w:hAnsi="Arial" w:cs="Arial"/>
        </w:rPr>
      </w:pPr>
      <w:r>
        <w:rPr>
          <w:rFonts w:ascii="Arial" w:eastAsia="Arial" w:hAnsi="Arial" w:cs="Arial"/>
        </w:rPr>
        <w:t>Update t</w:t>
      </w:r>
      <w:r w:rsidR="001536E2">
        <w:rPr>
          <w:rFonts w:ascii="Arial" w:eastAsia="Arial" w:hAnsi="Arial" w:cs="Arial"/>
        </w:rPr>
        <w:t xml:space="preserve">he </w:t>
      </w:r>
      <w:r>
        <w:rPr>
          <w:rFonts w:ascii="Arial" w:eastAsia="Arial" w:hAnsi="Arial" w:cs="Arial"/>
        </w:rPr>
        <w:t xml:space="preserve">Action Plan </w:t>
      </w:r>
      <w:r w:rsidR="001536E2">
        <w:rPr>
          <w:rFonts w:ascii="Arial" w:eastAsia="Arial" w:hAnsi="Arial" w:cs="Arial"/>
        </w:rPr>
        <w:t>so that that the risk relating to a “systematic mechanism for recording access to illegal or sensitive material” refers to staff and students.</w:t>
      </w:r>
    </w:p>
    <w:p w14:paraId="7EC26878" w14:textId="77777777" w:rsidR="00621ED9" w:rsidRDefault="006E20A5" w:rsidP="00101961">
      <w:pPr>
        <w:numPr>
          <w:ilvl w:val="0"/>
          <w:numId w:val="1"/>
        </w:numPr>
        <w:spacing w:after="0"/>
        <w:ind w:left="851" w:hanging="284"/>
        <w:contextualSpacing/>
        <w:rPr>
          <w:rFonts w:ascii="Arial" w:eastAsia="Arial" w:hAnsi="Arial" w:cs="Arial"/>
        </w:rPr>
      </w:pPr>
      <w:r>
        <w:rPr>
          <w:rFonts w:ascii="Arial" w:eastAsia="Arial" w:hAnsi="Arial" w:cs="Arial"/>
        </w:rPr>
        <w:t xml:space="preserve">The Risk Assessment </w:t>
      </w:r>
      <w:r w:rsidR="001536E2">
        <w:rPr>
          <w:rFonts w:ascii="Arial" w:eastAsia="Arial" w:hAnsi="Arial" w:cs="Arial"/>
        </w:rPr>
        <w:t xml:space="preserve">and </w:t>
      </w:r>
      <w:r>
        <w:rPr>
          <w:rFonts w:ascii="Arial" w:eastAsia="Arial" w:hAnsi="Arial" w:cs="Arial"/>
        </w:rPr>
        <w:t xml:space="preserve">Action Plan should </w:t>
      </w:r>
      <w:r w:rsidR="001536E2">
        <w:rPr>
          <w:rFonts w:ascii="Arial" w:eastAsia="Arial" w:hAnsi="Arial" w:cs="Arial"/>
        </w:rPr>
        <w:t>make reference to the geographical spread of the University’s estate, in order to demonstrate that all sites are covered, in all reasonably foreseeable circumstances.</w:t>
      </w:r>
    </w:p>
    <w:p w14:paraId="32990C30" w14:textId="442040BB" w:rsidR="00621ED9" w:rsidRDefault="006E20A5" w:rsidP="003C0D16">
      <w:pPr>
        <w:spacing w:after="0"/>
        <w:ind w:left="567"/>
      </w:pPr>
      <w:r>
        <w:rPr>
          <w:rFonts w:ascii="Arial" w:eastAsia="Arial" w:hAnsi="Arial" w:cs="Arial"/>
        </w:rPr>
        <w:br/>
        <w:t xml:space="preserve">The Risk Assessment </w:t>
      </w:r>
      <w:r w:rsidR="001536E2">
        <w:rPr>
          <w:rFonts w:ascii="Arial" w:eastAsia="Arial" w:hAnsi="Arial" w:cs="Arial"/>
        </w:rPr>
        <w:t xml:space="preserve">and </w:t>
      </w:r>
      <w:r>
        <w:rPr>
          <w:rFonts w:ascii="Arial" w:eastAsia="Arial" w:hAnsi="Arial" w:cs="Arial"/>
        </w:rPr>
        <w:t>Action Plan have been updated to address the recommendations.</w:t>
      </w:r>
      <w:r w:rsidR="00150483">
        <w:rPr>
          <w:rFonts w:ascii="Arial" w:eastAsia="Arial" w:hAnsi="Arial" w:cs="Arial"/>
        </w:rPr>
        <w:t xml:space="preserve"> </w:t>
      </w:r>
      <w:r w:rsidR="00FE1413">
        <w:rPr>
          <w:rFonts w:ascii="Arial" w:eastAsia="Arial" w:hAnsi="Arial" w:cs="Arial"/>
        </w:rPr>
        <w:t>They are live documents and are likely to change in future. The attached versions are a snapshot of current progress</w:t>
      </w:r>
      <w:r w:rsidR="00150483">
        <w:rPr>
          <w:rFonts w:ascii="Arial" w:eastAsia="Arial" w:hAnsi="Arial" w:cs="Arial"/>
        </w:rPr>
        <w:t xml:space="preserve"> </w:t>
      </w:r>
      <w:r w:rsidR="00E2306E">
        <w:rPr>
          <w:rFonts w:ascii="Arial" w:eastAsia="Arial" w:hAnsi="Arial" w:cs="Arial"/>
        </w:rPr>
        <w:t>in</w:t>
      </w:r>
      <w:r w:rsidR="00150483">
        <w:rPr>
          <w:rFonts w:ascii="Arial" w:eastAsia="Arial" w:hAnsi="Arial" w:cs="Arial"/>
        </w:rPr>
        <w:t xml:space="preserve"> </w:t>
      </w:r>
      <w:r w:rsidR="00E2306E">
        <w:rPr>
          <w:rFonts w:ascii="Arial" w:eastAsia="Arial" w:hAnsi="Arial" w:cs="Arial"/>
        </w:rPr>
        <w:t>Octo</w:t>
      </w:r>
      <w:r w:rsidR="00150483">
        <w:rPr>
          <w:rFonts w:ascii="Arial" w:eastAsia="Arial" w:hAnsi="Arial" w:cs="Arial"/>
        </w:rPr>
        <w:t>ber 2016</w:t>
      </w:r>
      <w:r w:rsidR="00FE1413">
        <w:rPr>
          <w:rFonts w:ascii="Arial" w:eastAsia="Arial" w:hAnsi="Arial" w:cs="Arial"/>
        </w:rPr>
        <w:t>.</w:t>
      </w:r>
    </w:p>
    <w:p w14:paraId="34755692" w14:textId="2F5FB3C6" w:rsidR="00621ED9" w:rsidRPr="003C0D16" w:rsidRDefault="001536E2" w:rsidP="003C0D16">
      <w:pPr>
        <w:pStyle w:val="ListParagraph"/>
        <w:numPr>
          <w:ilvl w:val="1"/>
          <w:numId w:val="11"/>
        </w:numPr>
        <w:spacing w:after="0"/>
        <w:ind w:left="567" w:hanging="567"/>
        <w:rPr>
          <w:rFonts w:ascii="Arial" w:eastAsia="Arial" w:hAnsi="Arial" w:cs="Arial"/>
        </w:rPr>
      </w:pPr>
      <w:r w:rsidRPr="003C0D16">
        <w:rPr>
          <w:rFonts w:ascii="Arial" w:eastAsia="Arial" w:hAnsi="Arial" w:cs="Arial"/>
          <w:i/>
        </w:rPr>
        <w:t xml:space="preserve">Review the Equality and Diversity Policy and include it in </w:t>
      </w:r>
      <w:r w:rsidR="00D23700">
        <w:rPr>
          <w:rFonts w:ascii="Arial" w:eastAsia="Arial" w:hAnsi="Arial" w:cs="Arial"/>
          <w:i/>
        </w:rPr>
        <w:t xml:space="preserve">the </w:t>
      </w:r>
      <w:r w:rsidRPr="003C0D16">
        <w:rPr>
          <w:rFonts w:ascii="Arial" w:eastAsia="Arial" w:hAnsi="Arial" w:cs="Arial"/>
          <w:i/>
        </w:rPr>
        <w:t>Prevent risk assessment</w:t>
      </w:r>
      <w:r w:rsidRPr="003C0D16">
        <w:rPr>
          <w:rFonts w:ascii="Arial" w:eastAsia="Arial" w:hAnsi="Arial" w:cs="Arial"/>
        </w:rPr>
        <w:t>.</w:t>
      </w:r>
    </w:p>
    <w:p w14:paraId="2B0A1F67" w14:textId="6CE96DCB" w:rsidR="00101961" w:rsidRDefault="006D7443" w:rsidP="00101961">
      <w:pPr>
        <w:spacing w:after="0" w:line="240" w:lineRule="auto"/>
        <w:ind w:left="567"/>
        <w:rPr>
          <w:rFonts w:ascii="Arial" w:eastAsia="Arial" w:hAnsi="Arial" w:cs="Arial"/>
        </w:rPr>
      </w:pPr>
      <w:r>
        <w:rPr>
          <w:rFonts w:ascii="Arial" w:eastAsia="Arial" w:hAnsi="Arial" w:cs="Arial"/>
        </w:rPr>
        <w:t xml:space="preserve">The </w:t>
      </w:r>
      <w:r w:rsidR="001536E2">
        <w:rPr>
          <w:rFonts w:ascii="Arial" w:eastAsia="Arial" w:hAnsi="Arial" w:cs="Arial"/>
        </w:rPr>
        <w:t>Uni</w:t>
      </w:r>
      <w:r w:rsidR="006E20A5">
        <w:rPr>
          <w:rFonts w:ascii="Arial" w:eastAsia="Arial" w:hAnsi="Arial" w:cs="Arial"/>
        </w:rPr>
        <w:t xml:space="preserve">versity’s Organisational </w:t>
      </w:r>
      <w:r w:rsidR="001536E2">
        <w:rPr>
          <w:rFonts w:ascii="Arial" w:eastAsia="Arial" w:hAnsi="Arial" w:cs="Arial"/>
        </w:rPr>
        <w:t>D</w:t>
      </w:r>
      <w:r>
        <w:rPr>
          <w:rFonts w:ascii="Arial" w:eastAsia="Arial" w:hAnsi="Arial" w:cs="Arial"/>
        </w:rPr>
        <w:t xml:space="preserve">evelopment Manager (Diversity) </w:t>
      </w:r>
      <w:r w:rsidR="001536E2">
        <w:rPr>
          <w:rFonts w:ascii="Arial" w:eastAsia="Arial" w:hAnsi="Arial" w:cs="Arial"/>
        </w:rPr>
        <w:t xml:space="preserve">is satisfied that </w:t>
      </w:r>
      <w:r>
        <w:rPr>
          <w:rFonts w:ascii="Arial" w:eastAsia="Arial" w:hAnsi="Arial" w:cs="Arial"/>
        </w:rPr>
        <w:t xml:space="preserve">the </w:t>
      </w:r>
      <w:r w:rsidR="001536E2">
        <w:rPr>
          <w:rFonts w:ascii="Arial" w:eastAsia="Arial" w:hAnsi="Arial" w:cs="Arial"/>
        </w:rPr>
        <w:t xml:space="preserve">Equality and Diversity Policy </w:t>
      </w:r>
      <w:r>
        <w:rPr>
          <w:rFonts w:ascii="Arial" w:eastAsia="Arial" w:hAnsi="Arial" w:cs="Arial"/>
        </w:rPr>
        <w:t xml:space="preserve">has not been breached by any </w:t>
      </w:r>
      <w:r w:rsidR="001536E2">
        <w:rPr>
          <w:rFonts w:ascii="Arial" w:eastAsia="Arial" w:hAnsi="Arial" w:cs="Arial"/>
        </w:rPr>
        <w:t>Prevent duty</w:t>
      </w:r>
      <w:r>
        <w:rPr>
          <w:rFonts w:ascii="Arial" w:eastAsia="Arial" w:hAnsi="Arial" w:cs="Arial"/>
        </w:rPr>
        <w:t xml:space="preserve"> related work</w:t>
      </w:r>
      <w:r w:rsidR="001536E2">
        <w:rPr>
          <w:rFonts w:ascii="Arial" w:eastAsia="Arial" w:hAnsi="Arial" w:cs="Arial"/>
        </w:rPr>
        <w:t xml:space="preserve">. </w:t>
      </w:r>
    </w:p>
    <w:p w14:paraId="3E637E78" w14:textId="77777777" w:rsidR="00101961" w:rsidRDefault="00101961" w:rsidP="00101961">
      <w:pPr>
        <w:spacing w:after="0" w:line="240" w:lineRule="auto"/>
        <w:ind w:left="567"/>
      </w:pPr>
    </w:p>
    <w:p w14:paraId="1383C3A1" w14:textId="5225EC72" w:rsidR="00621ED9" w:rsidRDefault="001536E2" w:rsidP="003C0D16">
      <w:pPr>
        <w:spacing w:after="0" w:line="240" w:lineRule="auto"/>
        <w:ind w:left="567"/>
      </w:pPr>
      <w:r>
        <w:rPr>
          <w:rFonts w:ascii="Arial" w:eastAsia="Arial" w:hAnsi="Arial" w:cs="Arial"/>
        </w:rPr>
        <w:t xml:space="preserve">Specific efforts have also been made in order to promote good practice by including key principles about unconscious bias in </w:t>
      </w:r>
      <w:r w:rsidR="006E20A5">
        <w:rPr>
          <w:rFonts w:ascii="Arial" w:eastAsia="Arial" w:hAnsi="Arial" w:cs="Arial"/>
        </w:rPr>
        <w:t xml:space="preserve">planned </w:t>
      </w:r>
      <w:r>
        <w:rPr>
          <w:rFonts w:ascii="Arial" w:eastAsia="Arial" w:hAnsi="Arial" w:cs="Arial"/>
        </w:rPr>
        <w:t>Prevent training for staff. These principles are developed in line with good practice carried out across the University in other areas, such as recruitment of staff.</w:t>
      </w:r>
    </w:p>
    <w:p w14:paraId="40F4B3E1" w14:textId="77777777" w:rsidR="00621ED9" w:rsidRPr="0012296D" w:rsidRDefault="0012296D" w:rsidP="003C0D16">
      <w:pPr>
        <w:numPr>
          <w:ilvl w:val="1"/>
          <w:numId w:val="11"/>
        </w:numPr>
        <w:spacing w:after="0"/>
        <w:ind w:left="567" w:hanging="567"/>
        <w:contextualSpacing/>
        <w:rPr>
          <w:rFonts w:ascii="Arial" w:eastAsia="Arial" w:hAnsi="Arial" w:cs="Arial"/>
          <w:i/>
          <w:u w:val="single"/>
        </w:rPr>
      </w:pPr>
      <w:r w:rsidRPr="0012296D">
        <w:rPr>
          <w:rFonts w:ascii="Arial" w:eastAsia="Arial" w:hAnsi="Arial" w:cs="Arial"/>
          <w:i/>
        </w:rPr>
        <w:t>Train Security Services staff about Prevent</w:t>
      </w:r>
    </w:p>
    <w:p w14:paraId="06A5A804" w14:textId="19ACBC1B" w:rsidR="00621ED9" w:rsidRDefault="0012296D">
      <w:pPr>
        <w:spacing w:after="0"/>
        <w:ind w:left="567"/>
        <w:rPr>
          <w:rFonts w:ascii="Arial" w:eastAsia="Arial" w:hAnsi="Arial" w:cs="Arial"/>
        </w:rPr>
      </w:pPr>
      <w:r>
        <w:rPr>
          <w:rFonts w:ascii="Arial" w:eastAsia="Arial" w:hAnsi="Arial" w:cs="Arial"/>
        </w:rPr>
        <w:t xml:space="preserve">This is included in the </w:t>
      </w:r>
      <w:r w:rsidR="0080435D">
        <w:rPr>
          <w:rFonts w:ascii="Arial" w:eastAsia="Arial" w:hAnsi="Arial" w:cs="Arial"/>
        </w:rPr>
        <w:t>training plan (Appendix i</w:t>
      </w:r>
      <w:r>
        <w:rPr>
          <w:rFonts w:ascii="Arial" w:eastAsia="Arial" w:hAnsi="Arial" w:cs="Arial"/>
        </w:rPr>
        <w:t>i).</w:t>
      </w:r>
    </w:p>
    <w:p w14:paraId="1C2B5CCD" w14:textId="77777777" w:rsidR="006D7443" w:rsidRDefault="006D7443">
      <w:pPr>
        <w:spacing w:after="0"/>
        <w:ind w:left="567"/>
      </w:pPr>
    </w:p>
    <w:p w14:paraId="4693D28E" w14:textId="77777777" w:rsidR="00621ED9" w:rsidRPr="0080435D" w:rsidRDefault="001536E2" w:rsidP="003C0D16">
      <w:pPr>
        <w:numPr>
          <w:ilvl w:val="0"/>
          <w:numId w:val="11"/>
        </w:numPr>
        <w:spacing w:after="0" w:line="240" w:lineRule="auto"/>
        <w:ind w:left="567" w:hanging="567"/>
        <w:contextualSpacing/>
        <w:rPr>
          <w:rFonts w:ascii="Arial" w:eastAsia="Arial" w:hAnsi="Arial" w:cs="Arial"/>
        </w:rPr>
      </w:pPr>
      <w:r>
        <w:rPr>
          <w:rFonts w:ascii="Arial" w:eastAsia="Arial" w:hAnsi="Arial" w:cs="Arial"/>
          <w:b/>
        </w:rPr>
        <w:t>Section D: Data on Prevent related activities</w:t>
      </w:r>
    </w:p>
    <w:p w14:paraId="5E725D35" w14:textId="2AA15B70" w:rsidR="007A2B9B" w:rsidRPr="0080435D" w:rsidRDefault="00150483" w:rsidP="0080435D">
      <w:pPr>
        <w:spacing w:after="0" w:line="240" w:lineRule="auto"/>
        <w:ind w:left="567"/>
        <w:contextualSpacing/>
        <w:rPr>
          <w:rFonts w:ascii="Arial" w:hAnsi="Arial" w:cs="Arial"/>
        </w:rPr>
      </w:pPr>
      <w:r>
        <w:rPr>
          <w:rFonts w:ascii="Arial" w:hAnsi="Arial" w:cs="Arial"/>
        </w:rPr>
        <w:t>HEFCE ask that a</w:t>
      </w:r>
      <w:r w:rsidR="007A2B9B" w:rsidRPr="0080435D">
        <w:rPr>
          <w:rFonts w:ascii="Arial" w:hAnsi="Arial" w:cs="Arial"/>
        </w:rPr>
        <w:t>nnual reports should include data covering the past year and any supporting examples or narrative on the following areas</w:t>
      </w:r>
      <w:r w:rsidR="0045536A">
        <w:rPr>
          <w:rFonts w:ascii="Arial" w:hAnsi="Arial" w:cs="Arial"/>
        </w:rPr>
        <w:t>:</w:t>
      </w:r>
    </w:p>
    <w:p w14:paraId="0D25C473" w14:textId="4079544C" w:rsidR="007A2B9B" w:rsidRPr="0080435D" w:rsidRDefault="0045536A" w:rsidP="0080435D">
      <w:pPr>
        <w:pStyle w:val="ListParagraph"/>
        <w:numPr>
          <w:ilvl w:val="1"/>
          <w:numId w:val="11"/>
        </w:numPr>
        <w:ind w:left="567" w:hanging="567"/>
        <w:rPr>
          <w:rFonts w:ascii="Arial" w:eastAsia="Arial" w:hAnsi="Arial" w:cs="Arial"/>
          <w:i/>
        </w:rPr>
      </w:pPr>
      <w:r w:rsidRPr="0080435D">
        <w:rPr>
          <w:rFonts w:ascii="Arial" w:hAnsi="Arial" w:cs="Arial"/>
          <w:i/>
        </w:rPr>
        <w:t>T</w:t>
      </w:r>
      <w:r w:rsidR="007A2B9B" w:rsidRPr="0080435D">
        <w:rPr>
          <w:rFonts w:ascii="Arial" w:hAnsi="Arial" w:cs="Arial"/>
          <w:i/>
        </w:rPr>
        <w:t xml:space="preserve">he number and proportion of staff who have received Prevent-related training </w:t>
      </w:r>
    </w:p>
    <w:p w14:paraId="67C8C6E6" w14:textId="582D3863" w:rsidR="0045536A" w:rsidRDefault="001536E2" w:rsidP="0080435D">
      <w:pPr>
        <w:pStyle w:val="ListParagraph"/>
        <w:ind w:left="567"/>
        <w:rPr>
          <w:rFonts w:ascii="Arial" w:hAnsi="Arial" w:cs="Arial"/>
        </w:rPr>
      </w:pPr>
      <w:r w:rsidRPr="007A2B9B">
        <w:rPr>
          <w:rFonts w:ascii="Arial" w:eastAsia="Arial" w:hAnsi="Arial" w:cs="Arial"/>
        </w:rPr>
        <w:t>Our</w:t>
      </w:r>
      <w:r w:rsidR="005C5B93" w:rsidRPr="007A2B9B">
        <w:rPr>
          <w:rFonts w:ascii="Arial" w:eastAsia="Arial" w:hAnsi="Arial" w:cs="Arial"/>
        </w:rPr>
        <w:t xml:space="preserve"> proposed</w:t>
      </w:r>
      <w:r w:rsidRPr="007A2B9B">
        <w:rPr>
          <w:rFonts w:ascii="Arial" w:eastAsia="Arial" w:hAnsi="Arial" w:cs="Arial"/>
        </w:rPr>
        <w:t xml:space="preserve"> training programme</w:t>
      </w:r>
      <w:r w:rsidR="005C5B93" w:rsidRPr="007A2B9B">
        <w:rPr>
          <w:rFonts w:ascii="Arial" w:eastAsia="Arial" w:hAnsi="Arial" w:cs="Arial"/>
        </w:rPr>
        <w:t xml:space="preserve"> </w:t>
      </w:r>
      <w:r w:rsidR="0080435D">
        <w:rPr>
          <w:rFonts w:ascii="Arial" w:eastAsia="Arial" w:hAnsi="Arial" w:cs="Arial"/>
        </w:rPr>
        <w:t>(as outlined in appendix ii</w:t>
      </w:r>
      <w:r w:rsidR="007A2B9B" w:rsidRPr="007A2B9B">
        <w:rPr>
          <w:rFonts w:ascii="Arial" w:eastAsia="Arial" w:hAnsi="Arial" w:cs="Arial"/>
        </w:rPr>
        <w:t xml:space="preserve">) </w:t>
      </w:r>
      <w:r w:rsidR="005C5B93" w:rsidRPr="007A2B9B">
        <w:rPr>
          <w:rFonts w:ascii="Arial" w:eastAsia="Arial" w:hAnsi="Arial" w:cs="Arial"/>
        </w:rPr>
        <w:t>fo</w:t>
      </w:r>
      <w:r w:rsidR="00C82954" w:rsidRPr="007A2B9B">
        <w:rPr>
          <w:rFonts w:ascii="Arial" w:eastAsia="Arial" w:hAnsi="Arial" w:cs="Arial"/>
        </w:rPr>
        <w:t>r Prevent is currently underway</w:t>
      </w:r>
      <w:r w:rsidR="007A2B9B" w:rsidRPr="007A2B9B">
        <w:rPr>
          <w:rFonts w:ascii="Arial" w:eastAsia="Arial" w:hAnsi="Arial" w:cs="Arial"/>
        </w:rPr>
        <w:t>. F</w:t>
      </w:r>
      <w:r w:rsidR="00C82954" w:rsidRPr="007A2B9B">
        <w:rPr>
          <w:rFonts w:ascii="Arial" w:eastAsia="Arial" w:hAnsi="Arial" w:cs="Arial"/>
        </w:rPr>
        <w:t>inal data including staff positions, numbers, and at what level they have been trained will be included in the final report to HEFCE in December</w:t>
      </w:r>
      <w:r w:rsidR="007A2B9B" w:rsidRPr="007A2B9B">
        <w:rPr>
          <w:rFonts w:ascii="Arial" w:eastAsia="Arial" w:hAnsi="Arial" w:cs="Arial"/>
        </w:rPr>
        <w:t>, which will be submitted to the Board in November</w:t>
      </w:r>
      <w:r w:rsidR="00D23700" w:rsidRPr="007A2B9B">
        <w:rPr>
          <w:rFonts w:ascii="Arial" w:eastAsia="Arial" w:hAnsi="Arial" w:cs="Arial"/>
        </w:rPr>
        <w:t>.</w:t>
      </w:r>
    </w:p>
    <w:p w14:paraId="43BD2F29" w14:textId="77777777" w:rsidR="0045536A" w:rsidRPr="0080435D" w:rsidRDefault="0045536A" w:rsidP="0080435D">
      <w:pPr>
        <w:pStyle w:val="ListParagraph"/>
        <w:numPr>
          <w:ilvl w:val="1"/>
          <w:numId w:val="11"/>
        </w:numPr>
        <w:ind w:left="567" w:hanging="567"/>
        <w:rPr>
          <w:rFonts w:ascii="Arial" w:eastAsia="Arial" w:hAnsi="Arial" w:cs="Arial"/>
        </w:rPr>
      </w:pPr>
      <w:r w:rsidRPr="0080435D">
        <w:rPr>
          <w:rFonts w:ascii="Arial" w:hAnsi="Arial" w:cs="Arial"/>
          <w:i/>
        </w:rPr>
        <w:t>T</w:t>
      </w:r>
      <w:r w:rsidR="007A2B9B" w:rsidRPr="0080435D">
        <w:rPr>
          <w:rFonts w:ascii="Arial" w:hAnsi="Arial" w:cs="Arial"/>
          <w:i/>
        </w:rPr>
        <w:t>he number of high-risk events escalated to the highest levels of approval</w:t>
      </w:r>
      <w:r w:rsidR="007A2B9B" w:rsidRPr="0080435D">
        <w:rPr>
          <w:rFonts w:ascii="Arial" w:hAnsi="Arial" w:cs="Arial"/>
        </w:rPr>
        <w:t xml:space="preserve"> </w:t>
      </w:r>
    </w:p>
    <w:p w14:paraId="5DE3581B" w14:textId="1B07F755" w:rsidR="0045536A" w:rsidRDefault="007A2B9B" w:rsidP="0080435D">
      <w:pPr>
        <w:pStyle w:val="ListParagraph"/>
        <w:ind w:left="567"/>
        <w:rPr>
          <w:rFonts w:ascii="Arial" w:eastAsia="Arial" w:hAnsi="Arial" w:cs="Arial"/>
        </w:rPr>
      </w:pPr>
      <w:r w:rsidRPr="007A2B9B">
        <w:rPr>
          <w:rFonts w:ascii="Arial" w:eastAsia="Arial" w:hAnsi="Arial" w:cs="Arial"/>
        </w:rPr>
        <w:t xml:space="preserve">No events have occurred at the University since the inception of </w:t>
      </w:r>
      <w:r w:rsidR="00150483">
        <w:rPr>
          <w:rFonts w:ascii="Arial" w:eastAsia="Arial" w:hAnsi="Arial" w:cs="Arial"/>
        </w:rPr>
        <w:t>the Prevent D</w:t>
      </w:r>
      <w:r w:rsidRPr="007A2B9B">
        <w:rPr>
          <w:rFonts w:ascii="Arial" w:eastAsia="Arial" w:hAnsi="Arial" w:cs="Arial"/>
        </w:rPr>
        <w:t xml:space="preserve">uty that </w:t>
      </w:r>
      <w:r w:rsidR="00150483">
        <w:rPr>
          <w:rFonts w:ascii="Arial" w:eastAsia="Arial" w:hAnsi="Arial" w:cs="Arial"/>
        </w:rPr>
        <w:t>that have required approval at the highest level of our external speakers approval procedure.</w:t>
      </w:r>
    </w:p>
    <w:p w14:paraId="0FA38DF1" w14:textId="77777777" w:rsidR="0045536A" w:rsidRPr="0080435D" w:rsidRDefault="0045536A" w:rsidP="0080435D">
      <w:pPr>
        <w:pStyle w:val="ListParagraph"/>
        <w:numPr>
          <w:ilvl w:val="1"/>
          <w:numId w:val="11"/>
        </w:numPr>
        <w:ind w:left="567" w:hanging="567"/>
        <w:rPr>
          <w:rFonts w:ascii="Arial" w:eastAsia="Arial" w:hAnsi="Arial" w:cs="Arial"/>
          <w:i/>
        </w:rPr>
      </w:pPr>
      <w:r w:rsidRPr="0080435D">
        <w:rPr>
          <w:rFonts w:ascii="Arial" w:hAnsi="Arial" w:cs="Arial"/>
          <w:i/>
        </w:rPr>
        <w:t>W</w:t>
      </w:r>
      <w:r w:rsidR="007A2B9B" w:rsidRPr="0080435D">
        <w:rPr>
          <w:rFonts w:ascii="Arial" w:hAnsi="Arial" w:cs="Arial"/>
          <w:i/>
        </w:rPr>
        <w:t>elfare concerns escalated internally and shared externally with Prevent partners (such as Further Education and Higher Education Prevent Coordinators, Local Authority Prevent leads or Police Prevent teams)</w:t>
      </w:r>
    </w:p>
    <w:p w14:paraId="12914ED2" w14:textId="458D2FA4" w:rsidR="0045536A" w:rsidRPr="0080435D" w:rsidRDefault="0045536A" w:rsidP="0080435D">
      <w:pPr>
        <w:pStyle w:val="ListParagraph"/>
        <w:ind w:left="567"/>
        <w:rPr>
          <w:rFonts w:ascii="Arial" w:hAnsi="Arial" w:cs="Arial"/>
          <w:i/>
        </w:rPr>
      </w:pPr>
      <w:r>
        <w:rPr>
          <w:rFonts w:ascii="Arial" w:eastAsia="Arial" w:hAnsi="Arial" w:cs="Arial"/>
        </w:rPr>
        <w:t>No welfare concerns related to Prevent have been raised in this way.</w:t>
      </w:r>
    </w:p>
    <w:p w14:paraId="05BA2B63" w14:textId="2961042E" w:rsidR="0045536A" w:rsidRPr="0080435D" w:rsidRDefault="0045536A" w:rsidP="0080435D">
      <w:pPr>
        <w:pStyle w:val="ListParagraph"/>
        <w:numPr>
          <w:ilvl w:val="1"/>
          <w:numId w:val="11"/>
        </w:numPr>
        <w:ind w:left="567" w:hanging="567"/>
        <w:rPr>
          <w:rFonts w:ascii="Arial" w:hAnsi="Arial" w:cs="Arial"/>
          <w:i/>
        </w:rPr>
      </w:pPr>
      <w:r w:rsidRPr="0080435D">
        <w:rPr>
          <w:rFonts w:ascii="Arial" w:hAnsi="Arial" w:cs="Arial"/>
          <w:i/>
        </w:rPr>
        <w:t>Formal referrals to multi-agency Prevent processes (sometimes called ‘Channel referrals’</w:t>
      </w:r>
      <w:r>
        <w:rPr>
          <w:rFonts w:ascii="Arial" w:hAnsi="Arial" w:cs="Arial"/>
          <w:i/>
        </w:rPr>
        <w:t>)</w:t>
      </w:r>
    </w:p>
    <w:p w14:paraId="490603A1" w14:textId="1E578AF0" w:rsidR="00621ED9" w:rsidRPr="0080435D" w:rsidRDefault="001536E2" w:rsidP="0080435D">
      <w:pPr>
        <w:pStyle w:val="ListParagraph"/>
        <w:ind w:left="567"/>
        <w:rPr>
          <w:rFonts w:ascii="Arial" w:hAnsi="Arial" w:cs="Arial"/>
          <w:i/>
        </w:rPr>
      </w:pPr>
      <w:r w:rsidRPr="0045536A">
        <w:rPr>
          <w:rFonts w:ascii="Arial" w:eastAsia="Arial" w:hAnsi="Arial" w:cs="Arial"/>
        </w:rPr>
        <w:t>No University of Bristol Students have been referred to t</w:t>
      </w:r>
      <w:r w:rsidR="00150483">
        <w:rPr>
          <w:rFonts w:ascii="Arial" w:eastAsia="Arial" w:hAnsi="Arial" w:cs="Arial"/>
        </w:rPr>
        <w:t>he local authority Channel process.</w:t>
      </w:r>
    </w:p>
    <w:p w14:paraId="76E71CF2" w14:textId="77777777" w:rsidR="00621ED9" w:rsidRDefault="001536E2" w:rsidP="003C0D16">
      <w:pPr>
        <w:numPr>
          <w:ilvl w:val="0"/>
          <w:numId w:val="11"/>
        </w:numPr>
        <w:spacing w:after="0" w:line="240" w:lineRule="auto"/>
        <w:contextualSpacing/>
        <w:rPr>
          <w:rFonts w:ascii="Arial" w:eastAsia="Arial" w:hAnsi="Arial" w:cs="Arial"/>
        </w:rPr>
      </w:pPr>
      <w:r>
        <w:rPr>
          <w:rFonts w:ascii="Arial" w:eastAsia="Arial" w:hAnsi="Arial" w:cs="Arial"/>
          <w:b/>
        </w:rPr>
        <w:t>Appendices.</w:t>
      </w:r>
    </w:p>
    <w:p w14:paraId="75BB31BB" w14:textId="12B90871" w:rsidR="00B437EC" w:rsidRDefault="001536E2" w:rsidP="006D7443">
      <w:pPr>
        <w:pStyle w:val="ListParagraph"/>
        <w:numPr>
          <w:ilvl w:val="2"/>
          <w:numId w:val="1"/>
        </w:numPr>
        <w:spacing w:after="0" w:line="240" w:lineRule="auto"/>
        <w:ind w:left="851" w:hanging="284"/>
        <w:rPr>
          <w:rFonts w:ascii="Arial" w:eastAsia="Arial" w:hAnsi="Arial" w:cs="Arial"/>
        </w:rPr>
      </w:pPr>
      <w:r w:rsidRPr="00B437EC">
        <w:rPr>
          <w:rFonts w:ascii="Arial" w:eastAsia="Arial" w:hAnsi="Arial" w:cs="Arial"/>
        </w:rPr>
        <w:t>Action Plan and Risk Assessment</w:t>
      </w:r>
      <w:r w:rsidR="005D7E7F">
        <w:rPr>
          <w:rFonts w:ascii="Arial" w:eastAsia="Arial" w:hAnsi="Arial" w:cs="Arial"/>
        </w:rPr>
        <w:t xml:space="preserve"> – revised </w:t>
      </w:r>
      <w:r w:rsidR="00241E6F">
        <w:rPr>
          <w:rFonts w:ascii="Arial" w:eastAsia="Arial" w:hAnsi="Arial" w:cs="Arial"/>
        </w:rPr>
        <w:t xml:space="preserve">October </w:t>
      </w:r>
      <w:r w:rsidR="005D7E7F">
        <w:rPr>
          <w:rFonts w:ascii="Arial" w:eastAsia="Arial" w:hAnsi="Arial" w:cs="Arial"/>
        </w:rPr>
        <w:t>2016</w:t>
      </w:r>
    </w:p>
    <w:p w14:paraId="7FD1A601" w14:textId="296FDCA7" w:rsidR="00621ED9" w:rsidRDefault="001536E2" w:rsidP="006D7443">
      <w:pPr>
        <w:pStyle w:val="ListParagraph"/>
        <w:numPr>
          <w:ilvl w:val="2"/>
          <w:numId w:val="1"/>
        </w:numPr>
        <w:spacing w:after="0" w:line="240" w:lineRule="auto"/>
        <w:ind w:left="851" w:hanging="284"/>
        <w:rPr>
          <w:rFonts w:ascii="Arial" w:eastAsia="Arial" w:hAnsi="Arial" w:cs="Arial"/>
        </w:rPr>
      </w:pPr>
      <w:r w:rsidRPr="00B437EC">
        <w:rPr>
          <w:rFonts w:ascii="Arial" w:eastAsia="Arial" w:hAnsi="Arial" w:cs="Arial"/>
        </w:rPr>
        <w:t>Detailed training plan</w:t>
      </w:r>
    </w:p>
    <w:p w14:paraId="02555B2F" w14:textId="1D14A318" w:rsidR="00621ED9" w:rsidRDefault="0080435D" w:rsidP="00E2306E">
      <w:pPr>
        <w:pStyle w:val="ListParagraph"/>
        <w:numPr>
          <w:ilvl w:val="2"/>
          <w:numId w:val="1"/>
        </w:numPr>
        <w:spacing w:after="0" w:line="240" w:lineRule="auto"/>
        <w:ind w:left="851" w:hanging="284"/>
      </w:pPr>
      <w:r w:rsidRPr="00E2306E">
        <w:rPr>
          <w:rFonts w:ascii="Arial" w:eastAsia="Arial" w:hAnsi="Arial" w:cs="Arial"/>
        </w:rPr>
        <w:t>Management of Prayer and Faith Facilities Policy</w:t>
      </w:r>
      <w:bookmarkStart w:id="2" w:name="_GoBack"/>
      <w:bookmarkEnd w:id="2"/>
    </w:p>
    <w:sectPr w:rsidR="00621ED9" w:rsidSect="00B54221">
      <w:headerReference w:type="default" r:id="rId9"/>
      <w:footerReference w:type="default" r:id="rId10"/>
      <w:headerReference w:type="first" r:id="rId11"/>
      <w:footerReference w:type="first" r:id="rId12"/>
      <w:pgSz w:w="11906" w:h="16838"/>
      <w:pgMar w:top="1440" w:right="1440" w:bottom="1440" w:left="1440" w:header="283"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96851" w14:textId="77777777" w:rsidR="009A6884" w:rsidRDefault="001536E2">
      <w:pPr>
        <w:spacing w:after="0" w:line="240" w:lineRule="auto"/>
      </w:pPr>
      <w:r>
        <w:separator/>
      </w:r>
    </w:p>
  </w:endnote>
  <w:endnote w:type="continuationSeparator" w:id="0">
    <w:p w14:paraId="65B49689" w14:textId="77777777" w:rsidR="009A6884" w:rsidRDefault="0015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340284"/>
      <w:docPartObj>
        <w:docPartGallery w:val="Page Numbers (Bottom of Page)"/>
        <w:docPartUnique/>
      </w:docPartObj>
    </w:sdtPr>
    <w:sdtEndPr>
      <w:rPr>
        <w:rFonts w:ascii="Arial" w:hAnsi="Arial" w:cs="Arial"/>
        <w:noProof/>
      </w:rPr>
    </w:sdtEndPr>
    <w:sdtContent>
      <w:p w14:paraId="5E83CD18" w14:textId="77777777" w:rsidR="004343BD" w:rsidRPr="004343BD" w:rsidRDefault="004343BD">
        <w:pPr>
          <w:pStyle w:val="Footer"/>
          <w:jc w:val="right"/>
          <w:rPr>
            <w:rFonts w:ascii="Arial" w:hAnsi="Arial" w:cs="Arial"/>
          </w:rPr>
        </w:pPr>
        <w:r w:rsidRPr="004343BD">
          <w:rPr>
            <w:rFonts w:ascii="Arial" w:hAnsi="Arial" w:cs="Arial"/>
          </w:rPr>
          <w:fldChar w:fldCharType="begin"/>
        </w:r>
        <w:r w:rsidRPr="004343BD">
          <w:rPr>
            <w:rFonts w:ascii="Arial" w:hAnsi="Arial" w:cs="Arial"/>
          </w:rPr>
          <w:instrText xml:space="preserve"> PAGE   \* MERGEFORMAT </w:instrText>
        </w:r>
        <w:r w:rsidRPr="004343BD">
          <w:rPr>
            <w:rFonts w:ascii="Arial" w:hAnsi="Arial" w:cs="Arial"/>
          </w:rPr>
          <w:fldChar w:fldCharType="separate"/>
        </w:r>
        <w:r w:rsidR="00E2306E">
          <w:rPr>
            <w:rFonts w:ascii="Arial" w:hAnsi="Arial" w:cs="Arial"/>
            <w:noProof/>
          </w:rPr>
          <w:t>4</w:t>
        </w:r>
        <w:r w:rsidRPr="004343BD">
          <w:rPr>
            <w:rFonts w:ascii="Arial" w:hAnsi="Arial" w:cs="Arial"/>
            <w:noProof/>
          </w:rPr>
          <w:fldChar w:fldCharType="end"/>
        </w:r>
      </w:p>
    </w:sdtContent>
  </w:sdt>
  <w:p w14:paraId="01600556" w14:textId="77777777" w:rsidR="004343BD" w:rsidRDefault="00434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891140"/>
      <w:docPartObj>
        <w:docPartGallery w:val="Page Numbers (Bottom of Page)"/>
        <w:docPartUnique/>
      </w:docPartObj>
    </w:sdtPr>
    <w:sdtEndPr>
      <w:rPr>
        <w:noProof/>
      </w:rPr>
    </w:sdtEndPr>
    <w:sdtContent>
      <w:p w14:paraId="0C4C34DB" w14:textId="73ED0029" w:rsidR="0085242B" w:rsidRDefault="0085242B">
        <w:pPr>
          <w:pStyle w:val="Footer"/>
          <w:jc w:val="right"/>
        </w:pPr>
        <w:r w:rsidRPr="00B54221">
          <w:rPr>
            <w:rFonts w:ascii="Arial" w:hAnsi="Arial" w:cs="Arial"/>
          </w:rPr>
          <w:fldChar w:fldCharType="begin"/>
        </w:r>
        <w:r w:rsidRPr="00B54221">
          <w:rPr>
            <w:rFonts w:ascii="Arial" w:hAnsi="Arial" w:cs="Arial"/>
          </w:rPr>
          <w:instrText xml:space="preserve"> PAGE   \* MERGEFORMAT </w:instrText>
        </w:r>
        <w:r w:rsidRPr="00B54221">
          <w:rPr>
            <w:rFonts w:ascii="Arial" w:hAnsi="Arial" w:cs="Arial"/>
          </w:rPr>
          <w:fldChar w:fldCharType="separate"/>
        </w:r>
        <w:r w:rsidR="002A6ABD">
          <w:rPr>
            <w:rFonts w:ascii="Arial" w:hAnsi="Arial" w:cs="Arial"/>
            <w:noProof/>
          </w:rPr>
          <w:t>1</w:t>
        </w:r>
        <w:r w:rsidRPr="00B54221">
          <w:rPr>
            <w:rFonts w:ascii="Arial" w:hAnsi="Arial" w:cs="Arial"/>
            <w:noProof/>
          </w:rPr>
          <w:fldChar w:fldCharType="end"/>
        </w:r>
      </w:p>
    </w:sdtContent>
  </w:sdt>
  <w:p w14:paraId="553E6A68" w14:textId="77777777" w:rsidR="0085242B" w:rsidRDefault="0085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89F1" w14:textId="77777777" w:rsidR="009A6884" w:rsidRDefault="001536E2">
      <w:pPr>
        <w:spacing w:after="0" w:line="240" w:lineRule="auto"/>
      </w:pPr>
      <w:r>
        <w:separator/>
      </w:r>
    </w:p>
  </w:footnote>
  <w:footnote w:type="continuationSeparator" w:id="0">
    <w:p w14:paraId="0910C4FF" w14:textId="77777777" w:rsidR="009A6884" w:rsidRDefault="001536E2">
      <w:pPr>
        <w:spacing w:after="0" w:line="240" w:lineRule="auto"/>
      </w:pPr>
      <w:r>
        <w:continuationSeparator/>
      </w:r>
    </w:p>
  </w:footnote>
  <w:footnote w:id="1">
    <w:p w14:paraId="00B29B64" w14:textId="5876FBC0" w:rsidR="00D65414" w:rsidRPr="00B54221" w:rsidRDefault="00D65414">
      <w:pPr>
        <w:pStyle w:val="FootnoteText"/>
        <w:rPr>
          <w:rFonts w:ascii="Arial" w:hAnsi="Arial" w:cs="Arial"/>
        </w:rPr>
      </w:pPr>
      <w:r w:rsidRPr="00B54221">
        <w:rPr>
          <w:rStyle w:val="FootnoteReference"/>
          <w:rFonts w:ascii="Arial" w:hAnsi="Arial" w:cs="Arial"/>
        </w:rPr>
        <w:footnoteRef/>
      </w:r>
      <w:r w:rsidRPr="00B54221">
        <w:rPr>
          <w:rFonts w:ascii="Arial" w:hAnsi="Arial" w:cs="Arial"/>
        </w:rPr>
        <w:t xml:space="preserve"> HEFCE 2016/24 </w:t>
      </w:r>
      <w:hyperlink r:id="rId1" w:history="1">
        <w:r w:rsidRPr="00B54221">
          <w:rPr>
            <w:rStyle w:val="Hyperlink"/>
            <w:rFonts w:ascii="Arial" w:hAnsi="Arial" w:cs="Arial"/>
            <w:i/>
          </w:rPr>
          <w:t>Updated framework for the monitoring of the Prevent duty in higher education in England</w:t>
        </w:r>
      </w:hyperlink>
      <w:r w:rsidRPr="00B54221">
        <w:rPr>
          <w:rFonts w:ascii="Arial" w:hAnsi="Arial" w:cs="Arial"/>
        </w:rPr>
        <w:t>. Paragraphs 26-46 detail the annual report requirements.</w:t>
      </w:r>
    </w:p>
  </w:footnote>
  <w:footnote w:id="2">
    <w:p w14:paraId="383EE679" w14:textId="4324EF1F" w:rsidR="001B7B91" w:rsidRPr="00B54221" w:rsidRDefault="001B7B91">
      <w:pPr>
        <w:pStyle w:val="FootnoteText"/>
        <w:rPr>
          <w:rFonts w:ascii="Arial" w:hAnsi="Arial" w:cs="Arial"/>
        </w:rPr>
      </w:pPr>
      <w:r w:rsidRPr="00B54221">
        <w:rPr>
          <w:rStyle w:val="FootnoteReference"/>
          <w:rFonts w:ascii="Arial" w:hAnsi="Arial" w:cs="Arial"/>
        </w:rPr>
        <w:footnoteRef/>
      </w:r>
      <w:r w:rsidRPr="00B54221">
        <w:rPr>
          <w:rFonts w:ascii="Arial" w:hAnsi="Arial" w:cs="Arial"/>
        </w:rPr>
        <w:t xml:space="preserve"> </w:t>
      </w:r>
      <w:r w:rsidRPr="00B54221">
        <w:rPr>
          <w:rFonts w:ascii="Arial" w:hAnsi="Arial" w:cs="Arial"/>
          <w:i/>
        </w:rPr>
        <w:t xml:space="preserve">Summary Report </w:t>
      </w:r>
      <w:r w:rsidRPr="00B54221">
        <w:rPr>
          <w:rFonts w:ascii="Arial" w:hAnsi="Arial" w:cs="Arial"/>
        </w:rPr>
        <w:t xml:space="preserve">refers to the </w:t>
      </w:r>
      <w:r w:rsidRPr="00B54221">
        <w:rPr>
          <w:rFonts w:ascii="Arial" w:hAnsi="Arial" w:cs="Arial"/>
          <w:i/>
        </w:rPr>
        <w:t xml:space="preserve">Summary of Prevent compliance arrangements not already covered in the risk assessment or action plan </w:t>
      </w:r>
      <w:r w:rsidRPr="00B54221">
        <w:rPr>
          <w:rFonts w:ascii="Arial" w:hAnsi="Arial" w:cs="Arial"/>
        </w:rPr>
        <w:t>paper submitted to the Board of Trustees for approval in March 2016</w:t>
      </w:r>
      <w:r w:rsidR="00EC7E76">
        <w:rPr>
          <w:rFonts w:ascii="Arial" w:hAnsi="Arial" w:cs="Arial"/>
        </w:rPr>
        <w:t xml:space="preserve"> and to HEFCE shortly after</w:t>
      </w:r>
      <w:r w:rsidRPr="00B54221">
        <w:rPr>
          <w:rFonts w:ascii="Arial" w:hAnsi="Arial" w:cs="Arial"/>
        </w:rPr>
        <w:t>.</w:t>
      </w:r>
    </w:p>
  </w:footnote>
  <w:footnote w:id="3">
    <w:p w14:paraId="1034EF4B" w14:textId="77777777" w:rsidR="00EF24A5" w:rsidRPr="00745CDF" w:rsidRDefault="00EF24A5" w:rsidP="00EF24A5">
      <w:pPr>
        <w:pStyle w:val="FootnoteText"/>
        <w:rPr>
          <w:rFonts w:ascii="Arial" w:hAnsi="Arial" w:cs="Arial"/>
        </w:rPr>
      </w:pPr>
      <w:r w:rsidRPr="00745CDF">
        <w:rPr>
          <w:rStyle w:val="FootnoteReference"/>
          <w:rFonts w:ascii="Arial" w:hAnsi="Arial" w:cs="Arial"/>
        </w:rPr>
        <w:footnoteRef/>
      </w:r>
      <w:r w:rsidRPr="00745CDF">
        <w:rPr>
          <w:rFonts w:ascii="Arial" w:hAnsi="Arial" w:cs="Arial"/>
        </w:rPr>
        <w:t xml:space="preserve"> Letter to the Vice-Chancellor entitled ‘Prevent duty monitoring’ from Yvonne Hawkins, Director of Universities and Colleges, HEFCE dated 20 September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1326" w14:textId="77777777" w:rsidR="00621ED9" w:rsidRDefault="00621ED9">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FBD" w14:textId="373E512C" w:rsidR="00B54221" w:rsidRPr="00B54221" w:rsidRDefault="00B54221" w:rsidP="00B54221">
    <w:pPr>
      <w:tabs>
        <w:tab w:val="center" w:pos="4513"/>
        <w:tab w:val="right" w:pos="9026"/>
      </w:tabs>
      <w:spacing w:before="708" w:after="0" w:line="240" w:lineRule="auto"/>
      <w:rPr>
        <w:rFonts w:ascii="Arial" w:hAnsi="Arial" w:cs="Arial"/>
        <w:u w:val="single"/>
      </w:rPr>
    </w:pPr>
    <w:r w:rsidRPr="00B54221">
      <w:rPr>
        <w:rFonts w:ascii="Arial" w:hAnsi="Arial" w:cs="Arial"/>
        <w:u w:val="single"/>
      </w:rPr>
      <w:t>DRAFT – for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120E"/>
    <w:multiLevelType w:val="multilevel"/>
    <w:tmpl w:val="A3520D2C"/>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15:restartNumberingAfterBreak="0">
    <w:nsid w:val="192734F9"/>
    <w:multiLevelType w:val="multilevel"/>
    <w:tmpl w:val="1B586426"/>
    <w:lvl w:ilvl="0">
      <w:start w:val="4"/>
      <w:numFmt w:val="decimal"/>
      <w:lvlText w:val="%1"/>
      <w:lvlJc w:val="left"/>
      <w:pPr>
        <w:ind w:left="360" w:hanging="360"/>
      </w:pPr>
      <w:rPr>
        <w:rFonts w:hint="default"/>
        <w:i/>
      </w:rPr>
    </w:lvl>
    <w:lvl w:ilvl="1">
      <w:start w:val="1"/>
      <w:numFmt w:val="lowerRoman"/>
      <w:lvlText w:val="%2."/>
      <w:lvlJc w:val="left"/>
      <w:pPr>
        <w:ind w:left="360" w:hanging="360"/>
      </w:pPr>
      <w:rPr>
        <w:rFonts w:ascii="Arial" w:eastAsia="Arial" w:hAnsi="Arial" w:cs="Arial"/>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248D792A"/>
    <w:multiLevelType w:val="multilevel"/>
    <w:tmpl w:val="2714B5D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26C87926"/>
    <w:multiLevelType w:val="multilevel"/>
    <w:tmpl w:val="FD36C1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327614"/>
    <w:multiLevelType w:val="multilevel"/>
    <w:tmpl w:val="4E0814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9A4355"/>
    <w:multiLevelType w:val="multilevel"/>
    <w:tmpl w:val="0D0A83CE"/>
    <w:lvl w:ilvl="0">
      <w:start w:val="4"/>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493121B7"/>
    <w:multiLevelType w:val="multilevel"/>
    <w:tmpl w:val="3E02203A"/>
    <w:lvl w:ilvl="0">
      <w:start w:val="2"/>
      <w:numFmt w:val="decimal"/>
      <w:lvlText w:val="%1."/>
      <w:lvlJc w:val="left"/>
      <w:pPr>
        <w:ind w:left="360" w:firstLine="0"/>
      </w:pPr>
      <w:rPr>
        <w:b/>
        <w:i w:val="0"/>
        <w:u w:val="none"/>
      </w:rPr>
    </w:lvl>
    <w:lvl w:ilvl="1">
      <w:start w:val="1"/>
      <w:numFmt w:val="decimal"/>
      <w:lvlText w:val="%1.%2."/>
      <w:lvlJc w:val="left"/>
      <w:pPr>
        <w:ind w:left="1800" w:firstLine="1080"/>
      </w:pPr>
      <w:rPr>
        <w:b w:val="0"/>
        <w:i w:val="0"/>
        <w:sz w:val="22"/>
        <w:szCs w:val="22"/>
      </w:rPr>
    </w:lvl>
    <w:lvl w:ilvl="2">
      <w:start w:val="1"/>
      <w:numFmt w:val="decimal"/>
      <w:lvlText w:val="%1.%2.%3."/>
      <w:lvlJc w:val="left"/>
      <w:pPr>
        <w:ind w:left="3131" w:firstLine="2411"/>
      </w:pPr>
      <w:rPr>
        <w:i w:val="0"/>
        <w:sz w:val="22"/>
        <w:szCs w:val="22"/>
      </w:rPr>
    </w:lvl>
    <w:lvl w:ilvl="3">
      <w:start w:val="1"/>
      <w:numFmt w:val="decimal"/>
      <w:lvlText w:val="%1.%2.%3.%4."/>
      <w:lvlJc w:val="left"/>
      <w:pPr>
        <w:ind w:left="4320" w:firstLine="3240"/>
      </w:pPr>
    </w:lvl>
    <w:lvl w:ilvl="4">
      <w:start w:val="1"/>
      <w:numFmt w:val="decimal"/>
      <w:lvlText w:val="%1.%2.%3.%4.%5."/>
      <w:lvlJc w:val="left"/>
      <w:pPr>
        <w:ind w:left="5400" w:firstLine="4320"/>
      </w:pPr>
    </w:lvl>
    <w:lvl w:ilvl="5">
      <w:start w:val="1"/>
      <w:numFmt w:val="decimal"/>
      <w:lvlText w:val="%1.%2.%3.%4.%5.%6."/>
      <w:lvlJc w:val="left"/>
      <w:pPr>
        <w:ind w:left="6840" w:firstLine="5400"/>
      </w:pPr>
    </w:lvl>
    <w:lvl w:ilvl="6">
      <w:start w:val="1"/>
      <w:numFmt w:val="decimal"/>
      <w:lvlText w:val="%1.%2.%3.%4.%5.%6.%7."/>
      <w:lvlJc w:val="left"/>
      <w:pPr>
        <w:ind w:left="7920" w:firstLine="6480"/>
      </w:pPr>
    </w:lvl>
    <w:lvl w:ilvl="7">
      <w:start w:val="1"/>
      <w:numFmt w:val="decimal"/>
      <w:lvlText w:val="%1.%2.%3.%4.%5.%6.%7.%8."/>
      <w:lvlJc w:val="left"/>
      <w:pPr>
        <w:ind w:left="9360" w:firstLine="7560"/>
      </w:pPr>
    </w:lvl>
    <w:lvl w:ilvl="8">
      <w:start w:val="1"/>
      <w:numFmt w:val="decimal"/>
      <w:lvlText w:val="%1.%2.%3.%4.%5.%6.%7.%8.%9."/>
      <w:lvlJc w:val="left"/>
      <w:pPr>
        <w:ind w:left="10440" w:firstLine="8640"/>
      </w:pPr>
    </w:lvl>
  </w:abstractNum>
  <w:abstractNum w:abstractNumId="7" w15:restartNumberingAfterBreak="0">
    <w:nsid w:val="4A113530"/>
    <w:multiLevelType w:val="multilevel"/>
    <w:tmpl w:val="668C73A0"/>
    <w:lvl w:ilvl="0">
      <w:start w:val="1"/>
      <w:numFmt w:val="lowerRoman"/>
      <w:lvlText w:val="%1)"/>
      <w:lvlJc w:val="left"/>
      <w:pPr>
        <w:ind w:left="1996" w:firstLine="1276"/>
      </w:pPr>
      <w:rPr>
        <w:sz w:val="22"/>
        <w:szCs w:val="22"/>
      </w:rPr>
    </w:lvl>
    <w:lvl w:ilvl="1">
      <w:start w:val="1"/>
      <w:numFmt w:val="lowerLetter"/>
      <w:lvlText w:val="%2."/>
      <w:lvlJc w:val="left"/>
      <w:pPr>
        <w:ind w:left="2356" w:firstLine="1996"/>
      </w:pPr>
    </w:lvl>
    <w:lvl w:ilvl="2">
      <w:start w:val="1"/>
      <w:numFmt w:val="lowerRoman"/>
      <w:lvlText w:val="%3."/>
      <w:lvlJc w:val="right"/>
      <w:pPr>
        <w:ind w:left="3076" w:firstLine="2896"/>
      </w:pPr>
    </w:lvl>
    <w:lvl w:ilvl="3">
      <w:start w:val="1"/>
      <w:numFmt w:val="decimal"/>
      <w:lvlText w:val="%4."/>
      <w:lvlJc w:val="left"/>
      <w:pPr>
        <w:ind w:left="3796" w:firstLine="3436"/>
      </w:pPr>
    </w:lvl>
    <w:lvl w:ilvl="4">
      <w:start w:val="1"/>
      <w:numFmt w:val="lowerLetter"/>
      <w:lvlText w:val="%5."/>
      <w:lvlJc w:val="left"/>
      <w:pPr>
        <w:ind w:left="4516" w:firstLine="4156"/>
      </w:pPr>
    </w:lvl>
    <w:lvl w:ilvl="5">
      <w:start w:val="1"/>
      <w:numFmt w:val="lowerRoman"/>
      <w:lvlText w:val="%6."/>
      <w:lvlJc w:val="right"/>
      <w:pPr>
        <w:ind w:left="5236" w:firstLine="5056"/>
      </w:pPr>
    </w:lvl>
    <w:lvl w:ilvl="6">
      <w:start w:val="1"/>
      <w:numFmt w:val="decimal"/>
      <w:lvlText w:val="%7."/>
      <w:lvlJc w:val="left"/>
      <w:pPr>
        <w:ind w:left="5956" w:firstLine="5596"/>
      </w:pPr>
    </w:lvl>
    <w:lvl w:ilvl="7">
      <w:start w:val="1"/>
      <w:numFmt w:val="lowerLetter"/>
      <w:lvlText w:val="%8."/>
      <w:lvlJc w:val="left"/>
      <w:pPr>
        <w:ind w:left="6676" w:firstLine="6316"/>
      </w:pPr>
    </w:lvl>
    <w:lvl w:ilvl="8">
      <w:start w:val="1"/>
      <w:numFmt w:val="lowerRoman"/>
      <w:lvlText w:val="%9."/>
      <w:lvlJc w:val="right"/>
      <w:pPr>
        <w:ind w:left="7396" w:firstLine="7216"/>
      </w:pPr>
    </w:lvl>
  </w:abstractNum>
  <w:abstractNum w:abstractNumId="8" w15:restartNumberingAfterBreak="0">
    <w:nsid w:val="64281412"/>
    <w:multiLevelType w:val="multilevel"/>
    <w:tmpl w:val="4D506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70746D5"/>
    <w:multiLevelType w:val="multilevel"/>
    <w:tmpl w:val="D44CEF5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04064E"/>
    <w:multiLevelType w:val="multilevel"/>
    <w:tmpl w:val="1B527E7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7"/>
  </w:num>
  <w:num w:numId="2">
    <w:abstractNumId w:val="3"/>
  </w:num>
  <w:num w:numId="3">
    <w:abstractNumId w:val="8"/>
  </w:num>
  <w:num w:numId="4">
    <w:abstractNumId w:val="0"/>
  </w:num>
  <w:num w:numId="5">
    <w:abstractNumId w:val="6"/>
  </w:num>
  <w:num w:numId="6">
    <w:abstractNumId w:val="10"/>
  </w:num>
  <w:num w:numId="7">
    <w:abstractNumId w:val="4"/>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9"/>
    <w:rsid w:val="00101961"/>
    <w:rsid w:val="0012296D"/>
    <w:rsid w:val="00150483"/>
    <w:rsid w:val="001536E2"/>
    <w:rsid w:val="001631BA"/>
    <w:rsid w:val="001B7B91"/>
    <w:rsid w:val="00241E6F"/>
    <w:rsid w:val="0027376F"/>
    <w:rsid w:val="00287470"/>
    <w:rsid w:val="002A6ABD"/>
    <w:rsid w:val="003C0D16"/>
    <w:rsid w:val="0040358E"/>
    <w:rsid w:val="004343BD"/>
    <w:rsid w:val="0045536A"/>
    <w:rsid w:val="00460DF1"/>
    <w:rsid w:val="004915FF"/>
    <w:rsid w:val="00505DF0"/>
    <w:rsid w:val="0057316B"/>
    <w:rsid w:val="005C5B93"/>
    <w:rsid w:val="005D7E7F"/>
    <w:rsid w:val="00621ED9"/>
    <w:rsid w:val="006D18E4"/>
    <w:rsid w:val="006D7443"/>
    <w:rsid w:val="006E20A5"/>
    <w:rsid w:val="006E5D8C"/>
    <w:rsid w:val="0074005A"/>
    <w:rsid w:val="007409CF"/>
    <w:rsid w:val="00745CDF"/>
    <w:rsid w:val="007521BB"/>
    <w:rsid w:val="00780475"/>
    <w:rsid w:val="00793E51"/>
    <w:rsid w:val="007A2B9B"/>
    <w:rsid w:val="007F0961"/>
    <w:rsid w:val="0080435D"/>
    <w:rsid w:val="00816FEA"/>
    <w:rsid w:val="0085242B"/>
    <w:rsid w:val="008525F2"/>
    <w:rsid w:val="008F545F"/>
    <w:rsid w:val="0091523A"/>
    <w:rsid w:val="009757A2"/>
    <w:rsid w:val="00991CB7"/>
    <w:rsid w:val="009A6884"/>
    <w:rsid w:val="009E2C46"/>
    <w:rsid w:val="009F3295"/>
    <w:rsid w:val="00A67814"/>
    <w:rsid w:val="00AE2EFC"/>
    <w:rsid w:val="00B1679C"/>
    <w:rsid w:val="00B437EC"/>
    <w:rsid w:val="00B54221"/>
    <w:rsid w:val="00BF0A07"/>
    <w:rsid w:val="00C82954"/>
    <w:rsid w:val="00CA0386"/>
    <w:rsid w:val="00D23700"/>
    <w:rsid w:val="00D65414"/>
    <w:rsid w:val="00E2306E"/>
    <w:rsid w:val="00E95929"/>
    <w:rsid w:val="00EC7E76"/>
    <w:rsid w:val="00EF24A5"/>
    <w:rsid w:val="00EF75EC"/>
    <w:rsid w:val="00FE1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0106B"/>
  <w15:docId w15:val="{507EC18D-4F9F-4C36-B3AD-B604B08E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C5B93"/>
    <w:pPr>
      <w:ind w:left="720"/>
      <w:contextualSpacing/>
    </w:pPr>
  </w:style>
  <w:style w:type="paragraph" w:styleId="Header">
    <w:name w:val="header"/>
    <w:basedOn w:val="Normal"/>
    <w:link w:val="HeaderChar"/>
    <w:uiPriority w:val="99"/>
    <w:unhideWhenUsed/>
    <w:rsid w:val="00CA0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386"/>
  </w:style>
  <w:style w:type="paragraph" w:styleId="Footer">
    <w:name w:val="footer"/>
    <w:basedOn w:val="Normal"/>
    <w:link w:val="FooterChar"/>
    <w:uiPriority w:val="99"/>
    <w:unhideWhenUsed/>
    <w:rsid w:val="00CA0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386"/>
  </w:style>
  <w:style w:type="character" w:styleId="CommentReference">
    <w:name w:val="annotation reference"/>
    <w:basedOn w:val="DefaultParagraphFont"/>
    <w:uiPriority w:val="99"/>
    <w:semiHidden/>
    <w:unhideWhenUsed/>
    <w:rsid w:val="004343BD"/>
    <w:rPr>
      <w:sz w:val="16"/>
      <w:szCs w:val="16"/>
    </w:rPr>
  </w:style>
  <w:style w:type="paragraph" w:styleId="CommentText">
    <w:name w:val="annotation text"/>
    <w:basedOn w:val="Normal"/>
    <w:link w:val="CommentTextChar"/>
    <w:uiPriority w:val="99"/>
    <w:semiHidden/>
    <w:unhideWhenUsed/>
    <w:rsid w:val="004343BD"/>
    <w:pPr>
      <w:spacing w:line="240" w:lineRule="auto"/>
    </w:pPr>
    <w:rPr>
      <w:sz w:val="20"/>
      <w:szCs w:val="20"/>
    </w:rPr>
  </w:style>
  <w:style w:type="character" w:customStyle="1" w:styleId="CommentTextChar">
    <w:name w:val="Comment Text Char"/>
    <w:basedOn w:val="DefaultParagraphFont"/>
    <w:link w:val="CommentText"/>
    <w:uiPriority w:val="99"/>
    <w:semiHidden/>
    <w:rsid w:val="004343BD"/>
    <w:rPr>
      <w:sz w:val="20"/>
      <w:szCs w:val="20"/>
    </w:rPr>
  </w:style>
  <w:style w:type="paragraph" w:styleId="CommentSubject">
    <w:name w:val="annotation subject"/>
    <w:basedOn w:val="CommentText"/>
    <w:next w:val="CommentText"/>
    <w:link w:val="CommentSubjectChar"/>
    <w:uiPriority w:val="99"/>
    <w:semiHidden/>
    <w:unhideWhenUsed/>
    <w:rsid w:val="004343BD"/>
    <w:rPr>
      <w:b/>
      <w:bCs/>
    </w:rPr>
  </w:style>
  <w:style w:type="character" w:customStyle="1" w:styleId="CommentSubjectChar">
    <w:name w:val="Comment Subject Char"/>
    <w:basedOn w:val="CommentTextChar"/>
    <w:link w:val="CommentSubject"/>
    <w:uiPriority w:val="99"/>
    <w:semiHidden/>
    <w:rsid w:val="004343BD"/>
    <w:rPr>
      <w:b/>
      <w:bCs/>
      <w:sz w:val="20"/>
      <w:szCs w:val="20"/>
    </w:rPr>
  </w:style>
  <w:style w:type="paragraph" w:styleId="BalloonText">
    <w:name w:val="Balloon Text"/>
    <w:basedOn w:val="Normal"/>
    <w:link w:val="BalloonTextChar"/>
    <w:uiPriority w:val="99"/>
    <w:semiHidden/>
    <w:unhideWhenUsed/>
    <w:rsid w:val="0043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BD"/>
    <w:rPr>
      <w:rFonts w:ascii="Segoe UI" w:hAnsi="Segoe UI" w:cs="Segoe UI"/>
      <w:sz w:val="18"/>
      <w:szCs w:val="18"/>
    </w:rPr>
  </w:style>
  <w:style w:type="paragraph" w:styleId="FootnoteText">
    <w:name w:val="footnote text"/>
    <w:basedOn w:val="Normal"/>
    <w:link w:val="FootnoteTextChar"/>
    <w:uiPriority w:val="99"/>
    <w:semiHidden/>
    <w:unhideWhenUsed/>
    <w:rsid w:val="001B7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B91"/>
    <w:rPr>
      <w:sz w:val="20"/>
      <w:szCs w:val="20"/>
    </w:rPr>
  </w:style>
  <w:style w:type="character" w:styleId="FootnoteReference">
    <w:name w:val="footnote reference"/>
    <w:basedOn w:val="DefaultParagraphFont"/>
    <w:uiPriority w:val="99"/>
    <w:semiHidden/>
    <w:unhideWhenUsed/>
    <w:rsid w:val="001B7B91"/>
    <w:rPr>
      <w:vertAlign w:val="superscript"/>
    </w:rPr>
  </w:style>
  <w:style w:type="paragraph" w:styleId="Revision">
    <w:name w:val="Revision"/>
    <w:hidden/>
    <w:uiPriority w:val="99"/>
    <w:semiHidden/>
    <w:rsid w:val="003C0D16"/>
    <w:pPr>
      <w:spacing w:after="0" w:line="240" w:lineRule="auto"/>
    </w:pPr>
  </w:style>
  <w:style w:type="character" w:styleId="Hyperlink">
    <w:name w:val="Hyperlink"/>
    <w:basedOn w:val="DefaultParagraphFont"/>
    <w:uiPriority w:val="99"/>
    <w:unhideWhenUsed/>
    <w:rsid w:val="00D65414"/>
    <w:rPr>
      <w:color w:val="0563C1" w:themeColor="hyperlink"/>
      <w:u w:val="single"/>
    </w:rPr>
  </w:style>
  <w:style w:type="character" w:styleId="FollowedHyperlink">
    <w:name w:val="FollowedHyperlink"/>
    <w:basedOn w:val="DefaultParagraphFont"/>
    <w:uiPriority w:val="99"/>
    <w:semiHidden/>
    <w:unhideWhenUsed/>
    <w:rsid w:val="00EF7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fce.ac.uk/media/HEFCE,2014/Content/Pubs/2016/201624/HEFCE2016_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DBF8-4FD6-4051-ABB6-30E9AEF1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 Edwards</dc:creator>
  <cp:lastModifiedBy>Richard Edwards</cp:lastModifiedBy>
  <cp:revision>2</cp:revision>
  <cp:lastPrinted>2016-10-11T12:03:00Z</cp:lastPrinted>
  <dcterms:created xsi:type="dcterms:W3CDTF">2016-10-12T14:52:00Z</dcterms:created>
  <dcterms:modified xsi:type="dcterms:W3CDTF">2016-10-12T14:52:00Z</dcterms:modified>
</cp:coreProperties>
</file>